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方正小标宋简体" w:hAnsi="方正小标宋简体" w:eastAsia="方正小标宋简体" w:cs="方正小标宋简体"/>
          <w:b w:val="0"/>
          <w:bCs/>
          <w:sz w:val="36"/>
          <w:szCs w:val="36"/>
          <w:highlight w:val="none"/>
        </w:rPr>
      </w:pPr>
      <w:bookmarkStart w:id="0" w:name="_Toc261442018"/>
      <w:bookmarkStart w:id="1" w:name="_Toc278185129"/>
      <w:r>
        <w:rPr>
          <w:rFonts w:hint="eastAsia" w:ascii="方正小标宋简体" w:hAnsi="方正小标宋简体" w:eastAsia="方正小标宋简体" w:cs="方正小标宋简体"/>
          <w:b w:val="0"/>
          <w:bCs/>
          <w:sz w:val="36"/>
          <w:szCs w:val="36"/>
          <w:highlight w:val="none"/>
        </w:rPr>
        <w:t>车辆维修保养</w:t>
      </w:r>
      <w:r>
        <w:rPr>
          <w:rFonts w:hint="eastAsia" w:ascii="方正小标宋简体" w:hAnsi="方正小标宋简体" w:eastAsia="方正小标宋简体" w:cs="方正小标宋简体"/>
          <w:b w:val="0"/>
          <w:bCs/>
          <w:kern w:val="0"/>
          <w:sz w:val="36"/>
          <w:szCs w:val="36"/>
          <w:highlight w:val="none"/>
        </w:rPr>
        <w:t>用户需求书</w:t>
      </w:r>
    </w:p>
    <w:p>
      <w:pPr>
        <w:spacing w:line="360" w:lineRule="auto"/>
        <w:ind w:firstLine="480" w:firstLineChars="200"/>
        <w:rPr>
          <w:rFonts w:ascii="宋体" w:hAnsi="宋体" w:cs="宋体"/>
          <w:b/>
          <w:bCs/>
          <w:sz w:val="24"/>
          <w:highlight w:val="none"/>
        </w:rPr>
      </w:pPr>
      <w:r>
        <w:rPr>
          <w:rFonts w:hint="eastAsia" w:ascii="宋体" w:hAnsi="宋体" w:cs="宋体"/>
          <w:b/>
          <w:bCs/>
          <w:sz w:val="24"/>
          <w:highlight w:val="none"/>
        </w:rPr>
        <w:t>一、主要内容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确定一家企业为惠州市中大惠亚医院公务车辆定点维修保养服务的企业。</w:t>
      </w:r>
      <w:r>
        <w:rPr>
          <w:rFonts w:hint="eastAsia" w:ascii="宋体" w:hAnsi="宋体" w:cs="宋体"/>
          <w:sz w:val="24"/>
          <w:highlight w:val="none"/>
          <w:lang w:eastAsia="zh-CN"/>
        </w:rPr>
        <w:t>服务时间：</w:t>
      </w:r>
      <w:r>
        <w:rPr>
          <w:rFonts w:hint="eastAsia" w:ascii="宋体" w:hAnsi="宋体" w:cs="宋体"/>
          <w:sz w:val="24"/>
          <w:highlight w:val="none"/>
        </w:rPr>
        <w:t>202</w:t>
      </w:r>
      <w:r>
        <w:rPr>
          <w:rFonts w:hint="eastAsia" w:ascii="宋体" w:hAnsi="宋体" w:cs="宋体"/>
          <w:sz w:val="24"/>
          <w:highlight w:val="none"/>
          <w:lang w:val="en-US" w:eastAsia="zh-CN"/>
        </w:rPr>
        <w:t>7</w:t>
      </w:r>
      <w:r>
        <w:rPr>
          <w:rFonts w:hint="eastAsia" w:ascii="宋体" w:hAnsi="宋体" w:cs="宋体"/>
          <w:sz w:val="24"/>
          <w:highlight w:val="none"/>
        </w:rPr>
        <w:t>年7月-202</w:t>
      </w:r>
      <w:r>
        <w:rPr>
          <w:rFonts w:hint="eastAsia" w:ascii="宋体" w:hAnsi="宋体" w:cs="宋体"/>
          <w:sz w:val="24"/>
          <w:highlight w:val="none"/>
          <w:lang w:val="en-US" w:eastAsia="zh-CN"/>
        </w:rPr>
        <w:t>9</w:t>
      </w:r>
      <w:r>
        <w:rPr>
          <w:rFonts w:hint="eastAsia" w:ascii="宋体" w:hAnsi="宋体" w:cs="宋体"/>
          <w:sz w:val="24"/>
          <w:highlight w:val="none"/>
        </w:rPr>
        <w:t>年6月</w:t>
      </w:r>
      <w:r>
        <w:rPr>
          <w:rFonts w:hint="eastAsia" w:ascii="宋体" w:hAnsi="宋体" w:cs="宋体"/>
          <w:sz w:val="24"/>
          <w:highlight w:val="none"/>
          <w:lang w:eastAsia="zh-CN"/>
        </w:rPr>
        <w:t>，</w:t>
      </w:r>
      <w:r>
        <w:rPr>
          <w:rFonts w:hint="eastAsia" w:ascii="宋体" w:hAnsi="宋体" w:cs="宋体"/>
          <w:sz w:val="24"/>
          <w:highlight w:val="none"/>
        </w:rPr>
        <w:t>服务期限为二年，具体服务开始时间以签订合同为准。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有下列情况可到非定点维修厂进行维修：保险公司</w:t>
      </w:r>
      <w:bookmarkStart w:id="2" w:name="_GoBack"/>
      <w:bookmarkEnd w:id="2"/>
      <w:r>
        <w:rPr>
          <w:rFonts w:hint="eastAsia" w:ascii="宋体" w:hAnsi="宋体" w:cs="宋体"/>
          <w:sz w:val="24"/>
          <w:highlight w:val="none"/>
        </w:rPr>
        <w:t>负责理赔维修的车辆，可按其规定执行；新购置的车辆，在保修期内，可到汽车生产厂指定的售后服务网点进行免费维护保养；在惠州以外地区发生故障需要及时维修的车辆</w:t>
      </w:r>
      <w:r>
        <w:rPr>
          <w:rFonts w:hint="eastAsia" w:ascii="宋体" w:hAnsi="宋体" w:cs="宋体"/>
          <w:i/>
          <w:iCs/>
          <w:sz w:val="24"/>
          <w:highlight w:val="none"/>
        </w:rPr>
        <w:t>。</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服务期间，如果国家有关部门有新的政策规定标准作出新的调整，从其规定。</w:t>
      </w:r>
    </w:p>
    <w:p>
      <w:pPr>
        <w:spacing w:line="360" w:lineRule="auto"/>
        <w:ind w:firstLine="480" w:firstLineChars="200"/>
        <w:rPr>
          <w:rFonts w:ascii="宋体" w:hAnsi="宋体" w:cs="宋体"/>
          <w:b/>
          <w:bCs/>
          <w:sz w:val="24"/>
          <w:highlight w:val="none"/>
        </w:rPr>
      </w:pPr>
      <w:r>
        <w:rPr>
          <w:rFonts w:hint="eastAsia" w:ascii="宋体" w:hAnsi="宋体" w:cs="宋体"/>
          <w:b/>
          <w:bCs/>
          <w:sz w:val="24"/>
          <w:highlight w:val="none"/>
        </w:rPr>
        <w:t xml:space="preserve">二、维修车辆数量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车辆共1</w:t>
      </w:r>
      <w:r>
        <w:rPr>
          <w:rFonts w:hint="eastAsia" w:ascii="宋体" w:hAnsi="宋体" w:cs="宋体"/>
          <w:sz w:val="24"/>
          <w:highlight w:val="none"/>
          <w:lang w:val="en-US" w:eastAsia="zh-CN"/>
        </w:rPr>
        <w:t>6</w:t>
      </w:r>
      <w:r>
        <w:rPr>
          <w:rFonts w:hint="eastAsia" w:ascii="宋体" w:hAnsi="宋体" w:cs="宋体"/>
          <w:sz w:val="24"/>
          <w:highlight w:val="none"/>
        </w:rPr>
        <w:t>辆，</w:t>
      </w:r>
      <w:r>
        <w:rPr>
          <w:rFonts w:ascii="宋体" w:hAnsi="宋体" w:cs="宋体"/>
          <w:sz w:val="24"/>
          <w:highlight w:val="none"/>
        </w:rPr>
        <w:t xml:space="preserve"> 丰田海狮救护车</w:t>
      </w:r>
      <w:r>
        <w:rPr>
          <w:rFonts w:hint="eastAsia" w:ascii="宋体" w:hAnsi="宋体" w:cs="宋体"/>
          <w:sz w:val="24"/>
          <w:highlight w:val="none"/>
        </w:rPr>
        <w:t>*3、福特全顺救护车*</w:t>
      </w:r>
      <w:r>
        <w:rPr>
          <w:rFonts w:hint="eastAsia" w:ascii="宋体" w:hAnsi="宋体" w:cs="宋体"/>
          <w:sz w:val="24"/>
          <w:highlight w:val="none"/>
          <w:lang w:val="en-US" w:eastAsia="zh-CN"/>
        </w:rPr>
        <w:t>4、</w:t>
      </w:r>
      <w:r>
        <w:rPr>
          <w:rFonts w:hint="eastAsia" w:ascii="宋体" w:hAnsi="宋体" w:cs="宋体"/>
          <w:sz w:val="24"/>
          <w:highlight w:val="none"/>
        </w:rPr>
        <w:t>丰田中巴*1、九龙中巴*1、西沃大巴*1</w:t>
      </w:r>
      <w:r>
        <w:rPr>
          <w:rFonts w:hint="eastAsia" w:ascii="宋体" w:hAnsi="宋体" w:cs="宋体"/>
          <w:sz w:val="24"/>
          <w:highlight w:val="none"/>
          <w:lang w:eastAsia="zh-CN"/>
        </w:rPr>
        <w:t>、</w:t>
      </w:r>
      <w:r>
        <w:rPr>
          <w:rFonts w:hint="eastAsia" w:ascii="宋体" w:hAnsi="宋体" w:cs="宋体"/>
          <w:sz w:val="24"/>
          <w:highlight w:val="none"/>
        </w:rPr>
        <w:t>本田奥德赛*1、丰田卡罗拉*1、江铃皮卡*1、广汽传祺GS5*</w:t>
      </w:r>
      <w:r>
        <w:rPr>
          <w:rFonts w:hint="eastAsia" w:ascii="宋体" w:hAnsi="宋体" w:cs="宋体"/>
          <w:sz w:val="24"/>
          <w:highlight w:val="none"/>
          <w:lang w:val="en-US" w:eastAsia="zh-CN"/>
        </w:rPr>
        <w:t>1、广汽传祺E8*1、宝龙大型救护车*1</w:t>
      </w:r>
      <w:r>
        <w:rPr>
          <w:rFonts w:hint="eastAsia" w:ascii="宋体" w:hAnsi="宋体" w:cs="宋体"/>
          <w:sz w:val="24"/>
          <w:highlight w:val="none"/>
        </w:rPr>
        <w:t>。</w:t>
      </w:r>
    </w:p>
    <w:p>
      <w:pPr>
        <w:spacing w:line="500" w:lineRule="exact"/>
        <w:jc w:val="center"/>
        <w:rPr>
          <w:rFonts w:ascii="宋体" w:hAnsi="宋体" w:cs="宋体"/>
          <w:highlight w:val="none"/>
        </w:rPr>
      </w:pPr>
      <w:r>
        <w:rPr>
          <w:rFonts w:hint="eastAsia" w:ascii="宋体" w:hAnsi="宋体" w:cs="宋体"/>
          <w:b/>
          <w:highlight w:val="none"/>
        </w:rPr>
        <w:t>采购人车型车牌一览表</w:t>
      </w:r>
    </w:p>
    <w:tbl>
      <w:tblPr>
        <w:tblStyle w:val="14"/>
        <w:tblW w:w="90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05"/>
        <w:gridCol w:w="2985"/>
        <w:gridCol w:w="2085"/>
        <w:gridCol w:w="25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trPr>
        <w:tc>
          <w:tcPr>
            <w:tcW w:w="140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序号</w:t>
            </w:r>
          </w:p>
        </w:tc>
        <w:tc>
          <w:tcPr>
            <w:tcW w:w="298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车型</w:t>
            </w:r>
          </w:p>
        </w:tc>
        <w:tc>
          <w:tcPr>
            <w:tcW w:w="208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车牌号</w:t>
            </w:r>
          </w:p>
        </w:tc>
        <w:tc>
          <w:tcPr>
            <w:tcW w:w="255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购入日期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1</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丰田海狮（救护车）</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粤LHS993</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2012年9月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丰田海狮（救护车）</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粤LJ6971</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2013年2月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3</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丰田海狮（救护车）</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粤LJ6675</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2013年2月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4</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福特全顺（救护车）</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粤L076NM</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2020年3月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5</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福特全顺（救护车）</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粤L120NG</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2021年8月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6</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福特全顺（救护车）</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粤L120NA</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2021年8月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7</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丰田中巴</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粤L41103</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2011年9月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8</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九龙中巴</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粤L55495</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2015年10月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9</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西沃大巴900I</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粤L45318</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2012年9月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10</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本田奥德赛</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粤LAV402</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2013年8月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11</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丰田卡罗拉</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粤LN5943</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cs="宋体"/>
                <w:sz w:val="24"/>
                <w:highlight w:val="none"/>
              </w:rPr>
            </w:pPr>
            <w:r>
              <w:rPr>
                <w:rFonts w:hint="eastAsia" w:ascii="宋体" w:hAnsi="宋体" w:cs="宋体"/>
                <w:sz w:val="24"/>
                <w:highlight w:val="none"/>
                <w:lang w:val="en-US" w:eastAsia="zh-CN"/>
              </w:rPr>
              <w:t>2011年10月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12</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江铃皮卡</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粤LN7775</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2012年7月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13</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广汽传祺GS5</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粤LEJ708</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2013年12月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sz w:val="24"/>
                <w:szCs w:val="24"/>
                <w:highlight w:val="none"/>
                <w:lang w:val="en-US" w:eastAsia="zh-CN"/>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4</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sz w:val="24"/>
                <w:szCs w:val="24"/>
                <w:highlight w:val="none"/>
                <w:lang w:val="en-US" w:eastAsia="zh-CN"/>
              </w:rPr>
            </w:pPr>
            <w:r>
              <w:rPr>
                <w:rFonts w:hint="eastAsia" w:ascii="宋体" w:hAnsi="宋体" w:cs="宋体"/>
                <w:i w:val="0"/>
                <w:color w:val="000000"/>
                <w:kern w:val="0"/>
                <w:sz w:val="24"/>
                <w:szCs w:val="24"/>
                <w:u w:val="none"/>
                <w:lang w:val="en-US" w:eastAsia="zh-CN" w:bidi="ar"/>
              </w:rPr>
              <w:t>福特全顺</w:t>
            </w:r>
            <w:r>
              <w:rPr>
                <w:rFonts w:hint="eastAsia" w:ascii="宋体" w:hAnsi="宋体" w:eastAsia="宋体" w:cs="宋体"/>
                <w:i w:val="0"/>
                <w:color w:val="000000"/>
                <w:kern w:val="0"/>
                <w:sz w:val="24"/>
                <w:szCs w:val="24"/>
                <w:u w:val="none"/>
                <w:lang w:val="en-US" w:eastAsia="zh-CN" w:bidi="ar"/>
              </w:rPr>
              <w:t>（救护车）</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sz w:val="24"/>
                <w:szCs w:val="24"/>
                <w:highlight w:val="none"/>
                <w:lang w:val="en-US" w:eastAsia="zh-CN"/>
              </w:rPr>
            </w:pPr>
            <w:r>
              <w:rPr>
                <w:rFonts w:hint="eastAsia" w:ascii="宋体" w:hAnsi="宋体" w:eastAsia="宋体" w:cs="宋体"/>
                <w:i w:val="0"/>
                <w:color w:val="000000"/>
                <w:kern w:val="0"/>
                <w:sz w:val="24"/>
                <w:szCs w:val="24"/>
                <w:u w:val="none"/>
                <w:lang w:val="en-US" w:eastAsia="zh-CN" w:bidi="ar"/>
              </w:rPr>
              <w:t>粤L66M64</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sz w:val="24"/>
                <w:szCs w:val="24"/>
                <w:highlight w:val="none"/>
                <w:lang w:val="en-US" w:eastAsia="zh-CN"/>
              </w:rPr>
            </w:pPr>
            <w:r>
              <w:rPr>
                <w:rFonts w:hint="eastAsia" w:ascii="宋体" w:hAnsi="宋体" w:eastAsia="宋体" w:cs="宋体"/>
                <w:i w:val="0"/>
                <w:color w:val="000000"/>
                <w:kern w:val="0"/>
                <w:sz w:val="24"/>
                <w:szCs w:val="24"/>
                <w:u w:val="none"/>
                <w:lang w:val="en-US" w:eastAsia="zh-CN" w:bidi="ar"/>
              </w:rPr>
              <w:t>2025年1月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15</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广汽传祺</w:t>
            </w:r>
            <w:r>
              <w:rPr>
                <w:rFonts w:hint="eastAsia" w:ascii="宋体" w:hAnsi="宋体" w:eastAsia="宋体"/>
                <w:sz w:val="24"/>
                <w:szCs w:val="24"/>
              </w:rPr>
              <w:t>E8</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粤LFF1896</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2025年11月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405"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16</w:t>
            </w:r>
          </w:p>
        </w:tc>
        <w:tc>
          <w:tcPr>
            <w:tcW w:w="298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宝龙（大型救护车）</w:t>
            </w:r>
          </w:p>
        </w:tc>
        <w:tc>
          <w:tcPr>
            <w:tcW w:w="208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粤L77986</w:t>
            </w:r>
          </w:p>
        </w:tc>
        <w:tc>
          <w:tcPr>
            <w:tcW w:w="25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2025年4月</w:t>
            </w:r>
          </w:p>
        </w:tc>
      </w:tr>
    </w:tbl>
    <w:p>
      <w:pPr>
        <w:spacing w:line="360" w:lineRule="auto"/>
        <w:rPr>
          <w:rFonts w:ascii="宋体" w:hAnsi="宋体" w:cs="宋体"/>
          <w:sz w:val="24"/>
          <w:highlight w:val="none"/>
        </w:rPr>
      </w:pPr>
    </w:p>
    <w:p>
      <w:pPr>
        <w:spacing w:line="360" w:lineRule="auto"/>
        <w:ind w:firstLine="480" w:firstLineChars="200"/>
        <w:rPr>
          <w:rFonts w:ascii="宋体" w:hAnsi="宋体" w:cs="宋体"/>
          <w:b/>
          <w:bCs/>
          <w:sz w:val="24"/>
          <w:highlight w:val="none"/>
        </w:rPr>
      </w:pPr>
      <w:r>
        <w:rPr>
          <w:rFonts w:hint="eastAsia" w:ascii="宋体" w:hAnsi="宋体" w:cs="宋体"/>
          <w:b/>
          <w:bCs/>
          <w:sz w:val="24"/>
          <w:highlight w:val="none"/>
        </w:rPr>
        <w:t>三、服务范围</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负责惠州市中大惠亚医院公务车辆的一、二级保养，小修，中修，大修，整车保养美容，24小时接送故障维修车辆及应急拖车救援服务，协助办理车辆保险、理赔，车辆年检等相关工作服务。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（一）一级保养作业项目：</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1.一级保养作业前，应将汽车冲洗干净，发动机和底盘擦拭后应无油垢、泥垢。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2.清洗发动机机油、汽油（或柴油）、空气滤请器，清除或排除各滤清器中的沉积物，排除贮器筒内的油污。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3.检查并向发动机油盘、变速器、后桥、转向机添加润滑油、使其润滑油面至标准部位。</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4.润滑水泵、分电器、转向拉杆球头销、离合器踏板支架销、转动轴、前后钢板弹簧销及车门等各润滑部位（按各车使用说明书规定的润滑点进行润滑），并配齐各润滑点的油嘴。</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5.检查并紧固发动机、底盘、车身外部的连接螺栓与螺母，各锁紧装置应按规定的规格数量配备齐全，紧固可靠。</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6.检查并调整空气压缩机、发电机等各传动带的松紧度。</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7.检查和调整踏板的自由形成、方向盘的游隙以及前轮轴承、转向节；检查调整拉杆的连接情况，前轮的侧滑量和汽车的制动性能。</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8.检查并紧固前后板弹簧U型螺栓、变速器、传动轴、主减速器及半轴各连接螺栓。</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9.检查发动机罩、散热器拉杆和百叶窗操纵机构、驾驶室或客车门窗座椅。</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10.检查轮胎外表、轮胎气压并充气。</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11.检查电器系统，如发电机、起动机及各种仪表工作是否正常；检查蓄电池液面高度和外壳是否渗漏，气孔是否通畅等。电解液应高出极板10~15mm，蓄电池加注孔螺塞应齐全。</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12.检查备胎升降器及备胎的固定情况，润滑备胎升降器各部位。</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13.消除检查中发现的故障和缺陷。</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经一级保养后，汽车应达到车容整洁、连接可靠，各滤清器应清洁畅通，各部应不漏油、水、气、电，各润滑部位应得到充分润滑。</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（二）二级保养作业项目：</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级保养以检查、调整为中心，对行驶一定里程的车辆进行一次较深入的技术状况检查和调整，其目的是为了保持车辆在以后较长时间内，能保持良好的运行性能。二级保养的作业较多，除进行一级保养的全部工作外，还必须消除一些保养工作中发现的故障和隐患，保养的时间较长，一般由保养工人实施。</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进行二级保养前，驾驶员应将本车运行中的不良技术情况提供给执行保养的保养工人，以提高保养质量。驾驶员也应了解二级保养的主要内容，以便对保养的质量有所掌握。二级保养的主要内容有：</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1.执行一级保养的全部内容。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2.测量发动机的气缸压力，调整气门间隙。</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3.清洗各滤清器、机油盘、集滤器浮自总成等。</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4.检查调整连杆轴承磨损情况及间隙。</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5.检查并紧固发动机前后支架螺栓。</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6.检查调整制动器，进行轮胎换位。</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7.检查调整离合器工作情况，检查其它总成，是需要进行调整。</w:t>
      </w:r>
    </w:p>
    <w:p>
      <w:pPr>
        <w:spacing w:line="360" w:lineRule="auto"/>
        <w:ind w:firstLine="480" w:firstLineChars="200"/>
        <w:rPr>
          <w:rFonts w:ascii="宋体" w:hAnsi="宋体" w:cs="宋体"/>
          <w:b/>
          <w:bCs/>
          <w:sz w:val="24"/>
          <w:highlight w:val="none"/>
        </w:rPr>
      </w:pPr>
      <w:r>
        <w:rPr>
          <w:rFonts w:hint="eastAsia" w:ascii="宋体" w:hAnsi="宋体" w:cs="宋体"/>
          <w:b/>
          <w:bCs/>
          <w:sz w:val="24"/>
          <w:highlight w:val="none"/>
        </w:rPr>
        <w:t>四、质量要求</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一）所采用的零部件，配件等材料必须根据车型提供原厂配件，符合国家或部颁标准和行业标准以及维修相关标准。必须有合法的进货渠道，不得使用假冒伪劣产品或以次充好。由于车型老旧，无相应配件时，经送修单位同意，可以用替代件或旧件的，定点企业必须在材料清单中加以注明，否则不得使用。</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（二）被修车辆达不到规定的质量标准和技术要求的，返修不得再计价收费。车辆竣工出厂执行质量保证期制度，不能低于中华人民共和国交通部所颁布的《机动车维修管理规定》（交通运输部令20</w:t>
      </w:r>
      <w:r>
        <w:rPr>
          <w:rFonts w:hint="eastAsia" w:ascii="宋体" w:hAnsi="宋体" w:cs="宋体"/>
          <w:sz w:val="24"/>
          <w:highlight w:val="none"/>
          <w:lang w:val="en-US" w:eastAsia="zh-CN"/>
        </w:rPr>
        <w:t>21</w:t>
      </w:r>
      <w:r>
        <w:rPr>
          <w:rFonts w:hint="eastAsia" w:ascii="宋体" w:hAnsi="宋体" w:cs="宋体"/>
          <w:sz w:val="24"/>
          <w:highlight w:val="none"/>
        </w:rPr>
        <w:t>年第</w:t>
      </w:r>
      <w:r>
        <w:rPr>
          <w:rFonts w:hint="eastAsia" w:ascii="宋体" w:hAnsi="宋体" w:cs="宋体"/>
          <w:sz w:val="24"/>
          <w:highlight w:val="none"/>
          <w:lang w:val="en-US" w:eastAsia="zh-CN"/>
        </w:rPr>
        <w:t>18</w:t>
      </w:r>
      <w:r>
        <w:rPr>
          <w:rFonts w:hint="eastAsia" w:ascii="宋体" w:hAnsi="宋体" w:cs="宋体"/>
          <w:sz w:val="24"/>
          <w:highlight w:val="none"/>
        </w:rPr>
        <w:t>号</w:t>
      </w:r>
      <w:r>
        <w:rPr>
          <w:rFonts w:hint="eastAsia" w:ascii="宋体" w:hAnsi="宋体" w:cs="宋体"/>
          <w:sz w:val="24"/>
          <w:highlight w:val="none"/>
          <w:lang w:eastAsia="zh-CN"/>
        </w:rPr>
        <w:t>）</w:t>
      </w:r>
      <w:r>
        <w:rPr>
          <w:rFonts w:hint="eastAsia" w:ascii="宋体" w:hAnsi="宋体" w:cs="宋体"/>
          <w:sz w:val="24"/>
          <w:highlight w:val="none"/>
        </w:rPr>
        <w:t>的标准。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（三）责任保障期限及车辆质量保障按照国家有关部门颁发的最新标准执行。在质量保质期内，因维修质量造成的直接经济损失，由定点维修企业负责。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（四）车辆返修率要控制在5%以内，并建立汽车维修档案，认真记录车辆维修情况。</w:t>
      </w:r>
    </w:p>
    <w:p>
      <w:pPr>
        <w:spacing w:line="520" w:lineRule="exact"/>
        <w:ind w:firstLine="480" w:firstLineChars="200"/>
        <w:rPr>
          <w:rFonts w:ascii="宋体" w:hAnsi="宋体"/>
          <w:bCs/>
          <w:sz w:val="24"/>
          <w:highlight w:val="none"/>
        </w:rPr>
      </w:pPr>
      <w:r>
        <w:rPr>
          <w:rFonts w:hint="eastAsia" w:ascii="宋体" w:hAnsi="宋体" w:cs="宋体"/>
          <w:sz w:val="24"/>
          <w:highlight w:val="none"/>
        </w:rPr>
        <w:t>（五）</w:t>
      </w:r>
      <w:r>
        <w:rPr>
          <w:rFonts w:hint="eastAsia" w:ascii="宋体" w:hAnsi="宋体"/>
          <w:bCs/>
          <w:sz w:val="24"/>
          <w:highlight w:val="none"/>
        </w:rPr>
        <w:t>大修保修期为一年（或20000公里）、小修、中修保修期为六个月（或10000公里）；二级维护保修为15天</w:t>
      </w:r>
      <w:r>
        <w:rPr>
          <w:rFonts w:hint="eastAsia" w:ascii="宋体" w:hAnsi="宋体"/>
          <w:bCs/>
          <w:sz w:val="24"/>
          <w:highlight w:val="none"/>
          <w:lang w:eastAsia="zh-CN"/>
        </w:rPr>
        <w:t>（</w:t>
      </w:r>
      <w:r>
        <w:rPr>
          <w:rFonts w:hint="eastAsia" w:ascii="宋体" w:hAnsi="宋体"/>
          <w:bCs/>
          <w:sz w:val="24"/>
          <w:highlight w:val="none"/>
        </w:rPr>
        <w:t>或1000公里</w:t>
      </w:r>
      <w:r>
        <w:rPr>
          <w:rFonts w:hint="eastAsia" w:ascii="宋体" w:hAnsi="宋体"/>
          <w:bCs/>
          <w:sz w:val="24"/>
          <w:highlight w:val="none"/>
          <w:lang w:eastAsia="zh-CN"/>
        </w:rPr>
        <w:t>）</w:t>
      </w:r>
      <w:r>
        <w:rPr>
          <w:rFonts w:hint="eastAsia" w:ascii="宋体" w:hAnsi="宋体"/>
          <w:bCs/>
          <w:sz w:val="24"/>
          <w:highlight w:val="none"/>
        </w:rPr>
        <w:t>，一级维护保修30天</w:t>
      </w:r>
      <w:r>
        <w:rPr>
          <w:rFonts w:hint="eastAsia" w:ascii="宋体" w:hAnsi="宋体"/>
          <w:bCs/>
          <w:sz w:val="24"/>
          <w:highlight w:val="none"/>
          <w:lang w:eastAsia="zh-CN"/>
        </w:rPr>
        <w:t>（</w:t>
      </w:r>
      <w:r>
        <w:rPr>
          <w:rFonts w:hint="eastAsia" w:ascii="宋体" w:hAnsi="宋体"/>
          <w:bCs/>
          <w:sz w:val="24"/>
          <w:highlight w:val="none"/>
        </w:rPr>
        <w:t>或3000公里</w:t>
      </w:r>
      <w:r>
        <w:rPr>
          <w:rFonts w:hint="eastAsia" w:ascii="宋体" w:hAnsi="宋体"/>
          <w:bCs/>
          <w:sz w:val="24"/>
          <w:highlight w:val="none"/>
          <w:lang w:eastAsia="zh-CN"/>
        </w:rPr>
        <w:t>）</w:t>
      </w:r>
      <w:r>
        <w:rPr>
          <w:rFonts w:hint="eastAsia" w:ascii="宋体" w:hAnsi="宋体"/>
          <w:bCs/>
          <w:sz w:val="24"/>
          <w:highlight w:val="none"/>
        </w:rPr>
        <w:t>。</w:t>
      </w: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b/>
          <w:bCs/>
          <w:sz w:val="24"/>
          <w:highlight w:val="none"/>
        </w:rPr>
      </w:pPr>
      <w:r>
        <w:rPr>
          <w:rFonts w:hint="eastAsia" w:ascii="宋体" w:hAnsi="宋体" w:cs="宋体"/>
          <w:b/>
          <w:bCs/>
          <w:sz w:val="24"/>
          <w:highlight w:val="none"/>
        </w:rPr>
        <w:t>五、执行标准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所有维修车辆出厂时必须达到《机动车运行安全技术条件》GB7258-2017等国家安全技术标准及车辆维修标准。</w:t>
      </w:r>
    </w:p>
    <w:p>
      <w:pPr>
        <w:numPr>
          <w:ilvl w:val="0"/>
          <w:numId w:val="1"/>
        </w:numPr>
        <w:spacing w:line="360" w:lineRule="auto"/>
        <w:ind w:firstLine="480" w:firstLineChars="200"/>
        <w:rPr>
          <w:rFonts w:ascii="宋体" w:hAnsi="宋体" w:cs="宋体"/>
          <w:b/>
          <w:bCs/>
          <w:sz w:val="24"/>
          <w:highlight w:val="none"/>
        </w:rPr>
      </w:pPr>
      <w:r>
        <w:rPr>
          <w:rFonts w:hint="eastAsia" w:ascii="宋体" w:hAnsi="宋体" w:cs="宋体"/>
          <w:b/>
          <w:bCs/>
          <w:sz w:val="24"/>
          <w:highlight w:val="none"/>
        </w:rPr>
        <w:t>服务要求</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（一）供应商资格要求</w:t>
      </w:r>
    </w:p>
    <w:p>
      <w:pPr>
        <w:spacing w:line="360" w:lineRule="auto"/>
        <w:ind w:firstLine="480" w:firstLineChars="200"/>
        <w:jc w:val="left"/>
        <w:rPr>
          <w:rFonts w:ascii="宋体" w:hAnsi="宋体" w:cs="宋体"/>
          <w:color w:val="FF0000"/>
          <w:sz w:val="24"/>
          <w:highlight w:val="none"/>
        </w:rPr>
      </w:pPr>
      <w:r>
        <w:rPr>
          <w:rFonts w:hint="eastAsia" w:ascii="宋体" w:hAnsi="宋体" w:cs="宋体"/>
          <w:sz w:val="24"/>
          <w:highlight w:val="none"/>
        </w:rPr>
        <w:t>1.</w:t>
      </w:r>
      <w:r>
        <w:rPr>
          <w:rFonts w:hint="eastAsia" w:ascii="宋体" w:hAnsi="宋体" w:cs="宋体"/>
          <w:spacing w:val="-6"/>
          <w:sz w:val="24"/>
          <w:highlight w:val="none"/>
        </w:rPr>
        <w:t>供应商</w:t>
      </w:r>
      <w:r>
        <w:rPr>
          <w:rFonts w:hint="eastAsia" w:ascii="宋体" w:hAnsi="宋体" w:cs="宋体"/>
          <w:color w:val="000000" w:themeColor="text1"/>
          <w:sz w:val="24"/>
          <w:highlight w:val="none"/>
        </w:rPr>
        <w:t>须具有</w:t>
      </w:r>
      <w:r>
        <w:rPr>
          <w:rFonts w:hint="eastAsia" w:ascii="宋体" w:hAnsi="宋体" w:cs="宋体"/>
          <w:kern w:val="0"/>
          <w:sz w:val="24"/>
          <w:highlight w:val="none"/>
        </w:rPr>
        <w:t>修理小型车辆技术和设备的三类或以上车辆维修经营业务资质证书。</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2.提供有效期內年检合格的工商营业执照、税务登记证等证件的副本（复印件加盖公章）；</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3.必须严格遵守</w:t>
      </w:r>
      <w:r>
        <w:rPr>
          <w:rFonts w:hint="eastAsia" w:ascii="宋体" w:hAnsi="宋体" w:cs="宋体"/>
          <w:color w:val="auto"/>
          <w:sz w:val="24"/>
          <w:highlight w:val="none"/>
        </w:rPr>
        <w:t>《中华</w:t>
      </w:r>
      <w:r>
        <w:rPr>
          <w:rFonts w:hint="eastAsia" w:ascii="宋体" w:hAnsi="宋体" w:cs="宋体"/>
          <w:color w:val="auto"/>
          <w:sz w:val="24"/>
          <w:highlight w:val="none"/>
          <w:lang w:eastAsia="zh-CN"/>
        </w:rPr>
        <w:t>人民</w:t>
      </w:r>
      <w:r>
        <w:rPr>
          <w:rFonts w:hint="eastAsia" w:ascii="宋体" w:hAnsi="宋体" w:cs="宋体"/>
          <w:color w:val="auto"/>
          <w:sz w:val="24"/>
          <w:highlight w:val="none"/>
        </w:rPr>
        <w:t>共和国交通运输行业标准机动车维修服务</w:t>
      </w:r>
      <w:r>
        <w:rPr>
          <w:rFonts w:hint="eastAsia" w:ascii="宋体" w:hAnsi="宋体" w:cs="宋体"/>
          <w:color w:val="auto"/>
          <w:sz w:val="24"/>
          <w:highlight w:val="none"/>
          <w:lang w:eastAsia="zh-CN"/>
        </w:rPr>
        <w:t>规范</w:t>
      </w:r>
      <w:r>
        <w:rPr>
          <w:rFonts w:hint="eastAsia" w:ascii="宋体" w:hAnsi="宋体" w:cs="宋体"/>
          <w:color w:val="auto"/>
          <w:sz w:val="24"/>
          <w:highlight w:val="none"/>
        </w:rPr>
        <w:t>》</w:t>
      </w:r>
      <w:r>
        <w:rPr>
          <w:rFonts w:hint="eastAsia" w:ascii="宋体" w:hAnsi="宋体" w:cs="宋体"/>
          <w:sz w:val="24"/>
          <w:highlight w:val="none"/>
        </w:rPr>
        <w:t>JT/T816-2011等相关规定。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（二）场地及设施要求</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1.场地符合国家规定的标准要求，并且交通便利；</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2.汽车维修厂与采购人单位的距离不超过5公里；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3.修理车间布局合理，车间设施良好，修理工位标示明确；</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4.企业各功能区标志清晰，企业资质证明，员工资格证明，营业时间要明确展示；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5.保留足够的停车场地和接待区，接待区要有满足客户登记和休息的设施。</w:t>
      </w:r>
    </w:p>
    <w:p>
      <w:pPr>
        <w:spacing w:line="360" w:lineRule="auto"/>
        <w:ind w:firstLine="480" w:firstLineChars="200"/>
        <w:rPr>
          <w:rFonts w:ascii="宋体" w:hAnsi="宋体" w:cs="宋体"/>
          <w:bCs/>
          <w:sz w:val="24"/>
          <w:highlight w:val="none"/>
        </w:rPr>
      </w:pPr>
      <w:r>
        <w:rPr>
          <w:rFonts w:hint="eastAsia" w:ascii="宋体" w:hAnsi="宋体" w:cs="宋体"/>
          <w:bCs/>
          <w:sz w:val="24"/>
          <w:highlight w:val="none"/>
        </w:rPr>
        <w:t>（三）设备要求</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符合GB/T16739.1-20</w:t>
      </w:r>
      <w:r>
        <w:rPr>
          <w:rFonts w:hint="eastAsia" w:ascii="宋体" w:hAnsi="宋体" w:cs="宋体"/>
          <w:sz w:val="24"/>
          <w:highlight w:val="none"/>
          <w:lang w:val="en-US" w:eastAsia="zh-CN"/>
        </w:rPr>
        <w:t>14</w:t>
      </w:r>
      <w:r>
        <w:rPr>
          <w:rFonts w:hint="eastAsia" w:ascii="宋体" w:hAnsi="宋体" w:cs="宋体"/>
          <w:sz w:val="24"/>
          <w:highlight w:val="none"/>
        </w:rPr>
        <w:t>标准，并配备有车辆救援的专用维修设备及车辆。</w:t>
      </w:r>
    </w:p>
    <w:p>
      <w:pPr>
        <w:numPr>
          <w:ilvl w:val="0"/>
          <w:numId w:val="2"/>
        </w:numPr>
        <w:spacing w:line="360" w:lineRule="auto"/>
        <w:ind w:firstLine="480" w:firstLineChars="200"/>
        <w:rPr>
          <w:rFonts w:ascii="宋体" w:hAnsi="宋体" w:cs="宋体"/>
          <w:bCs/>
          <w:color w:val="000000" w:themeColor="text1"/>
          <w:sz w:val="24"/>
          <w:highlight w:val="none"/>
        </w:rPr>
      </w:pPr>
      <w:r>
        <w:rPr>
          <w:rFonts w:hint="eastAsia" w:ascii="宋体" w:hAnsi="宋体" w:cs="宋体"/>
          <w:bCs/>
          <w:color w:val="000000" w:themeColor="text1"/>
          <w:sz w:val="24"/>
          <w:highlight w:val="none"/>
        </w:rPr>
        <w:t>经营要求</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1.日常运作（接车、维修、交车、结算、投诉、索赔）要做到规范化，制度化，实行定人定岗，严格落实岗位责任制度，形成岗位责任追究制度，促进生产管理活动有秩序地进行。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接受委托维修时，检验人员必须在现场对车辆进行初步判断，充分了解车辆故障原因，确定维修故障，向送修单位说明维修的项目、更换配件的来源，渠道、维修时长、费用（工时和配件费）等报价，编制维修项目明细表，由送修单位签名认可，确认送修单位对维修内容及其细节的知情权。</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3.严格按照交车时限来安排维修服务，不能在规定时限内交车的，须提前告知送修单位。</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工作单上没有的项目，在维修过程中发现某些项目是必须追加的，维修人员应立及时告知技术负责人，确认后，在维修前通知送修单位，征得送修单位同意，方能增加费用施工，并追加工作单或在原工作单上补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5.维修人员更换配件时，应以旧件换取车房的新件，并向送修单位明确该新件是原厂件还是副厂件，同时旧件应交车房保存，车辆竣工出厂后，旧件应归还送修单位。</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6.汽车竣工出厂后，定点企业应建立送修单位车辆维修电子和纸质档案（包括用户名称，车牌号，地址，电话，联系人，维修项目等），以备查验。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7.汽车竣工出厂，质保期限按照国家有关产品质量标准执行。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8.在质保期内，因维修质量造成的车辆故障或损坏的，定点维修企业应负责及时返修，由于维修质量问题造成的车辆异常损坏或车辆机件事故的，由定点维修企业负责。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9.定点维修企业不得以任何借口动用公务车，未经送修单位允许不得将车开出车厂试车或作它用。</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10.惠州市行政区域范围内免费24小时接送故障维修车辆及应急拖车救援服务。</w:t>
      </w:r>
    </w:p>
    <w:p>
      <w:pPr>
        <w:spacing w:line="360" w:lineRule="auto"/>
        <w:ind w:firstLine="480" w:firstLineChars="200"/>
        <w:rPr>
          <w:rFonts w:hint="eastAsia" w:ascii="宋体" w:hAnsi="宋体" w:eastAsia="宋体" w:cs="宋体"/>
          <w:sz w:val="24"/>
          <w:highlight w:val="none"/>
          <w:lang w:eastAsia="zh-CN"/>
        </w:rPr>
      </w:pPr>
      <w:r>
        <w:rPr>
          <w:rFonts w:hint="eastAsia" w:ascii="宋体" w:hAnsi="宋体" w:cs="宋体"/>
          <w:sz w:val="24"/>
          <w:highlight w:val="none"/>
        </w:rPr>
        <w:t>11.</w:t>
      </w:r>
      <w:r>
        <w:rPr>
          <w:rFonts w:hint="eastAsia" w:ascii="宋体" w:hAnsi="宋体" w:eastAsia="宋体" w:cs="宋体"/>
          <w:bCs/>
          <w:sz w:val="24"/>
          <w:highlight w:val="none"/>
        </w:rPr>
        <w:t>惠州市中大惠亚医院直径50公里范围外的车辆突发应急情况需协助医院安排车辆转运乘坐人员</w:t>
      </w:r>
      <w:r>
        <w:rPr>
          <w:rFonts w:hint="eastAsia" w:ascii="宋体" w:hAnsi="宋体" w:eastAsia="宋体" w:cs="宋体"/>
          <w:bCs/>
          <w:sz w:val="24"/>
          <w:highlight w:val="none"/>
          <w:lang w:eastAsia="zh-CN"/>
        </w:rPr>
        <w:t>。</w:t>
      </w:r>
    </w:p>
    <w:p>
      <w:pPr>
        <w:spacing w:line="360" w:lineRule="auto"/>
        <w:ind w:firstLine="480" w:firstLineChars="200"/>
        <w:rPr>
          <w:rFonts w:ascii="宋体" w:hAnsi="宋体" w:cs="宋体"/>
          <w:sz w:val="24"/>
          <w:highlight w:val="none"/>
        </w:rPr>
      </w:pPr>
      <w:r>
        <w:rPr>
          <w:rFonts w:hint="eastAsia" w:ascii="宋体" w:hAnsi="宋体" w:cs="宋体"/>
          <w:sz w:val="24"/>
          <w:highlight w:val="none"/>
          <w:lang w:val="en-US" w:eastAsia="zh-CN"/>
        </w:rPr>
        <w:t>12.</w:t>
      </w:r>
      <w:r>
        <w:rPr>
          <w:rFonts w:hint="eastAsia" w:ascii="宋体" w:hAnsi="宋体" w:cs="宋体"/>
          <w:sz w:val="24"/>
          <w:highlight w:val="none"/>
        </w:rPr>
        <w:t>严格执行需求文件中提出的服务承诺。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3</w:t>
      </w:r>
      <w:r>
        <w:rPr>
          <w:rFonts w:hint="eastAsia" w:ascii="宋体" w:hAnsi="宋体" w:cs="宋体"/>
          <w:sz w:val="24"/>
          <w:highlight w:val="none"/>
        </w:rPr>
        <w:t>.必须服从有关部门的监督、管理，不得私自将送修单位的车辆转厂维修。</w:t>
      </w:r>
    </w:p>
    <w:p>
      <w:pPr>
        <w:spacing w:line="360" w:lineRule="auto"/>
        <w:ind w:firstLine="480" w:firstLineChars="200"/>
        <w:rPr>
          <w:rFonts w:ascii="宋体" w:hAnsi="宋体" w:cs="宋体"/>
          <w:b/>
          <w:bCs/>
          <w:sz w:val="24"/>
          <w:highlight w:val="none"/>
        </w:rPr>
      </w:pPr>
      <w:r>
        <w:rPr>
          <w:rFonts w:hint="eastAsia" w:ascii="宋体" w:hAnsi="宋体" w:cs="宋体"/>
          <w:b/>
          <w:bCs/>
          <w:sz w:val="24"/>
          <w:highlight w:val="none"/>
        </w:rPr>
        <w:t>七、企业管理要求</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（一）定点维修企业的服务项目、服务收费、服务承诺等内容等应向送修单位公开，在业务接待室的显眼处公布企业的有关证照、维修的工时费优惠率和维修材料管理费率、质量保证规定、监督投诉电话。</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（二）维修管理制度、财务管理制度、岗位责任制度、质量控制制度健全、有效、合理。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（三）流程环节清楚、合理、有序。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（四）标牌标识清晰、能够提供文明、优质的服务。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（五）有符合规定的出厂质检工序。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（六）重要监测维修设备、操作规程实施有效，专人对设备的使用进行管理，保证状态良好。</w:t>
      </w:r>
    </w:p>
    <w:p>
      <w:pPr>
        <w:spacing w:line="360" w:lineRule="auto"/>
        <w:rPr>
          <w:rFonts w:ascii="宋体" w:hAnsi="宋体" w:cs="宋体"/>
          <w:b/>
          <w:sz w:val="24"/>
          <w:highlight w:val="none"/>
        </w:rPr>
      </w:pPr>
      <w:r>
        <w:rPr>
          <w:rFonts w:hint="eastAsia" w:ascii="宋体" w:hAnsi="宋体" w:cs="宋体"/>
          <w:b/>
          <w:sz w:val="24"/>
          <w:highlight w:val="none"/>
        </w:rPr>
        <w:t>八、结算规定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1.当没有相应标准的车型时，结算时按相近的车型计算。</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2.无相应标准的特殊结构作业项目以及在交通事故中损坏较严重的车辆，维修费用按保险公司或采购人鉴定后进行结算。</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3.结算方式依据实际产生的费用，每月末凭维修清单及发票汇总交甲方审核支付，支付方式采用支票或银行转账。</w:t>
      </w:r>
      <w:bookmarkEnd w:id="0"/>
      <w:bookmarkEnd w:id="1"/>
    </w:p>
    <w:p>
      <w:pPr>
        <w:spacing w:line="360" w:lineRule="auto"/>
        <w:ind w:firstLine="480" w:firstLineChars="200"/>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4.</w:t>
      </w:r>
      <w:r>
        <w:rPr>
          <w:rFonts w:hint="eastAsia" w:ascii="宋体" w:hAnsi="宋体" w:cs="宋体"/>
          <w:color w:val="000000"/>
          <w:sz w:val="24"/>
          <w:highlight w:val="none"/>
          <w:lang w:val="en-US" w:eastAsia="zh-CN"/>
        </w:rPr>
        <w:t>结算单价详见《维修保养工时及耗材明细限价表》。</w:t>
      </w:r>
    </w:p>
    <w:p>
      <w:pPr>
        <w:spacing w:line="360" w:lineRule="auto"/>
        <w:ind w:firstLine="480" w:firstLineChars="200"/>
        <w:rPr>
          <w:rFonts w:hint="eastAsia" w:ascii="宋体" w:hAnsi="宋体" w:cs="宋体"/>
          <w:sz w:val="24"/>
          <w:highlight w:val="none"/>
        </w:rPr>
      </w:pPr>
    </w:p>
    <w:sectPr>
      <w:headerReference r:id="rId4" w:type="first"/>
      <w:footerReference r:id="rId6" w:type="first"/>
      <w:headerReference r:id="rId3" w:type="default"/>
      <w:footerReference r:id="rId5" w:type="default"/>
      <w:pgSz w:w="11907" w:h="16840"/>
      <w:pgMar w:top="1304" w:right="1474" w:bottom="1304" w:left="1474" w:header="680" w:footer="737"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enter" w:pos="4422"/>
        <w:tab w:val="clear" w:pos="4153"/>
      </w:tabs>
    </w:pPr>
    <w:r>
      <w:pict>
        <v:shape id="_x0000_s4098" o:spid="_x0000_s4098" o:spt="202" type="#_x0000_t202" style="position:absolute;left:0pt;margin-top:0pt;height:25.65pt;width:10.65pt;mso-position-horizontal:center;mso-position-horizontal-relative:margin;mso-wrap-style:none;z-index:251659264;mso-width-relative:page;mso-height-relative:page;" filled="f" stroked="f" coordsize="21600,21600" o:gfxdata="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k&#10;HZzY0QAAAAMBAAAPAAAAAAAAAAEAIAAAACIAAABkcnMvZG93bnJldi54bWxQSwECFAAUAAAACACH&#10;TuJA9x9Qi7kBAABSAwAADgAAAAAAAAABACAAAAAgAQAAZHJzL2Uyb0RvYy54bWxQSwUGAAAAAAYA&#10;BgBZAQAASwUAAAAA&#1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v:textbox>
        </v:shape>
      </w:pic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_x0000_s4097" o:spid="_x0000_s4097" o:spt="202" type="#_x0000_t202" style="position:absolute;left:0pt;margin-top:5.7pt;height:25.65pt;width:10.65pt;mso-position-horizontal:center;mso-position-horizontal-relative:margin;mso-wrap-style:none;z-index:251660288;mso-width-relative:page;mso-height-relative:page;" filled="f" stroked="f" coordsize="21600,21600" o:gfxdata="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kBg1rSAAAABQEAAA8AAAAAAAAAAQAgAAAAIgAAAGRycy9kb3ducmV2LnhtbFBLAQIUABQAAAAI&#10;AIdO4kC6lpNsugEAAFIDAAAOAAAAAAAAAAEAIAAAACEBAABkcnMvZTJvRG9jLnhtbFBLBQYAAAAA&#10;BgAGAFkBAABNBQAAAAA=&#1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11</w:t>
                </w:r>
                <w:r>
                  <w:rPr>
                    <w:rFonts w:hint="eastAsia"/>
                    <w:sz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D1A6E"/>
    <w:multiLevelType w:val="singleLevel"/>
    <w:tmpl w:val="064D1A6E"/>
    <w:lvl w:ilvl="0" w:tentative="0">
      <w:start w:val="4"/>
      <w:numFmt w:val="chineseCounting"/>
      <w:suff w:val="nothing"/>
      <w:lvlText w:val="（%1）"/>
      <w:lvlJc w:val="left"/>
      <w:rPr>
        <w:rFonts w:hint="eastAsia"/>
      </w:rPr>
    </w:lvl>
  </w:abstractNum>
  <w:abstractNum w:abstractNumId="1">
    <w:nsid w:val="19DE8D2D"/>
    <w:multiLevelType w:val="singleLevel"/>
    <w:tmpl w:val="19DE8D2D"/>
    <w:lvl w:ilvl="0" w:tentative="0">
      <w:start w:val="6"/>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3061DA"/>
    <w:rsid w:val="00140288"/>
    <w:rsid w:val="00176090"/>
    <w:rsid w:val="001B79A2"/>
    <w:rsid w:val="003061DA"/>
    <w:rsid w:val="00395A49"/>
    <w:rsid w:val="004C05AA"/>
    <w:rsid w:val="00565D52"/>
    <w:rsid w:val="005D5D97"/>
    <w:rsid w:val="00724C87"/>
    <w:rsid w:val="00743A7C"/>
    <w:rsid w:val="007872AA"/>
    <w:rsid w:val="009F3BA3"/>
    <w:rsid w:val="00A86A9A"/>
    <w:rsid w:val="00B969C9"/>
    <w:rsid w:val="00C142E2"/>
    <w:rsid w:val="00D03563"/>
    <w:rsid w:val="00D517EE"/>
    <w:rsid w:val="00E23270"/>
    <w:rsid w:val="00E9037F"/>
    <w:rsid w:val="00F26B50"/>
    <w:rsid w:val="00F770AA"/>
    <w:rsid w:val="00FD1E20"/>
    <w:rsid w:val="0D8E4F12"/>
    <w:rsid w:val="18684C8D"/>
    <w:rsid w:val="1DCA6A06"/>
    <w:rsid w:val="2194450B"/>
    <w:rsid w:val="2C420BFD"/>
    <w:rsid w:val="3C084873"/>
    <w:rsid w:val="3C52769F"/>
    <w:rsid w:val="3FD13D61"/>
    <w:rsid w:val="418949BA"/>
    <w:rsid w:val="454D62A2"/>
    <w:rsid w:val="45D7758D"/>
    <w:rsid w:val="4D516555"/>
    <w:rsid w:val="5167492C"/>
    <w:rsid w:val="51C37935"/>
    <w:rsid w:val="533E2547"/>
    <w:rsid w:val="53DA3B6A"/>
    <w:rsid w:val="5BB26CF4"/>
    <w:rsid w:val="5CDB2FB4"/>
    <w:rsid w:val="66AA0A06"/>
    <w:rsid w:val="6B7E1C32"/>
    <w:rsid w:val="6E677CA2"/>
    <w:rsid w:val="6FA62A22"/>
    <w:rsid w:val="707F4079"/>
    <w:rsid w:val="70924288"/>
    <w:rsid w:val="75712013"/>
    <w:rsid w:val="76855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413" w:lineRule="auto"/>
      <w:outlineLvl w:val="1"/>
    </w:pPr>
    <w:rPr>
      <w:rFonts w:ascii="Arial" w:hAnsi="Arial" w:eastAsia="黑体"/>
      <w:b/>
      <w:bCs/>
      <w:sz w:val="32"/>
      <w:szCs w:val="32"/>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Body Text 3"/>
    <w:basedOn w:val="1"/>
    <w:qFormat/>
    <w:uiPriority w:val="0"/>
    <w:rPr>
      <w:sz w:val="16"/>
      <w:szCs w:val="16"/>
    </w:rPr>
  </w:style>
  <w:style w:type="paragraph" w:styleId="6">
    <w:name w:val="Body Text Indent"/>
    <w:basedOn w:val="1"/>
    <w:qFormat/>
    <w:uiPriority w:val="0"/>
    <w:pPr>
      <w:ind w:firstLine="830" w:firstLineChars="352"/>
    </w:pPr>
    <w:rPr>
      <w:rFonts w:ascii="仿宋_GB2312" w:eastAsia="仿宋_GB2312"/>
      <w:sz w:val="32"/>
      <w:szCs w:val="20"/>
    </w:rPr>
  </w:style>
  <w:style w:type="paragraph" w:styleId="7">
    <w:name w:val="Plain Text"/>
    <w:basedOn w:val="1"/>
    <w:qFormat/>
    <w:uiPriority w:val="0"/>
    <w:rPr>
      <w:rFonts w:ascii="宋体" w:hAnsi="Courier New" w:cs="Courier New"/>
      <w:szCs w:val="21"/>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semiHidden/>
    <w:qFormat/>
    <w:uiPriority w:val="99"/>
  </w:style>
  <w:style w:type="paragraph" w:styleId="11">
    <w:name w:val="index heading"/>
    <w:basedOn w:val="1"/>
    <w:next w:val="12"/>
    <w:qFormat/>
    <w:uiPriority w:val="0"/>
    <w:rPr>
      <w:szCs w:val="20"/>
    </w:rPr>
  </w:style>
  <w:style w:type="paragraph" w:styleId="12">
    <w:name w:val="index 1"/>
    <w:basedOn w:val="1"/>
    <w:next w:val="1"/>
    <w:qFormat/>
    <w:uiPriority w:val="0"/>
  </w:style>
  <w:style w:type="paragraph" w:styleId="13">
    <w:name w:val="Title"/>
    <w:basedOn w:val="1"/>
    <w:qFormat/>
    <w:uiPriority w:val="0"/>
    <w:pPr>
      <w:jc w:val="center"/>
      <w:outlineLvl w:val="0"/>
    </w:pPr>
    <w:rPr>
      <w:rFonts w:ascii="Arial" w:hAnsi="Arial" w:cs="Arial"/>
      <w:b/>
      <w:bCs/>
      <w:sz w:val="32"/>
      <w:szCs w:val="32"/>
    </w:rPr>
  </w:style>
  <w:style w:type="character" w:styleId="16">
    <w:name w:val="Hyperlink"/>
    <w:basedOn w:val="15"/>
    <w:qFormat/>
    <w:uiPriority w:val="0"/>
    <w:rPr>
      <w:color w:val="0000FF"/>
      <w:u w:val="single"/>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表格文字"/>
    <w:basedOn w:val="1"/>
    <w:qFormat/>
    <w:uiPriority w:val="0"/>
    <w:pPr>
      <w:jc w:val="left"/>
    </w:pPr>
    <w:rPr>
      <w:bCs/>
      <w:spacing w:val="10"/>
      <w:kern w:val="0"/>
      <w:sz w:val="24"/>
      <w:szCs w:val="20"/>
    </w:rPr>
  </w:style>
  <w:style w:type="paragraph" w:customStyle="1" w:styleId="19">
    <w:name w:val="图"/>
    <w:basedOn w:val="1"/>
    <w:qFormat/>
    <w:uiPriority w:val="0"/>
    <w:pPr>
      <w:keepNext/>
      <w:adjustRightInd w:val="0"/>
      <w:spacing w:line="300" w:lineRule="auto"/>
      <w:jc w:val="center"/>
      <w:textAlignment w:val="center"/>
    </w:pPr>
    <w:rPr>
      <w:snapToGrid w:val="0"/>
      <w:spacing w:val="20"/>
      <w:kern w:val="0"/>
      <w:sz w:val="24"/>
      <w:szCs w:val="20"/>
    </w:rPr>
  </w:style>
  <w:style w:type="paragraph" w:customStyle="1" w:styleId="20">
    <w:name w:val="xl25"/>
    <w:basedOn w:val="1"/>
    <w:qFormat/>
    <w:uiPriority w:val="0"/>
    <w:pPr>
      <w:widowControl/>
      <w:pBdr>
        <w:bottom w:val="single" w:color="auto" w:sz="4" w:space="0"/>
        <w:right w:val="single" w:color="auto" w:sz="4" w:space="0"/>
      </w:pBdr>
      <w:spacing w:beforeAutospacing="1" w:afterAutospacing="1"/>
      <w:jc w:val="center"/>
    </w:pPr>
    <w:rPr>
      <w:rFonts w:ascii="宋体" w:hAnsi="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564</Words>
  <Characters>3216</Characters>
  <Lines>26</Lines>
  <Paragraphs>7</Paragraphs>
  <TotalTime>1</TotalTime>
  <ScaleCrop>false</ScaleCrop>
  <LinksUpToDate>false</LinksUpToDate>
  <CharactersWithSpaces>3773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2021-01-19T06:43:00Z</dcterms:created>
  <dc:creator>Administrator</dc:creator>
  <cp:lastModifiedBy>廖慧芬</cp:lastModifiedBy>
  <cp:lastPrinted>2018-12-12T07:36:00Z</cp:lastPrinted>
  <dcterms:modified xsi:type="dcterms:W3CDTF">2026-09-17T08:19:12Z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