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color w:val="000000" w:themeColor="text1"/>
          <w:sz w:val="36"/>
          <w:szCs w:val="36"/>
          <w:lang w:eastAsia="zh-CN"/>
          <w14:textFill>
            <w14:solidFill>
              <w14:schemeClr w14:val="tx1"/>
            </w14:solidFill>
          </w14:textFill>
        </w:rPr>
      </w:pPr>
      <w:r>
        <w:rPr>
          <w:rFonts w:hint="eastAsia"/>
          <w:color w:val="000000" w:themeColor="text1"/>
          <w:sz w:val="36"/>
          <w:szCs w:val="36"/>
          <w:lang w:eastAsia="zh-CN"/>
          <w14:textFill>
            <w14:solidFill>
              <w14:schemeClr w14:val="tx1"/>
            </w14:solidFill>
          </w14:textFill>
        </w:rPr>
        <w:t>中大惠亚医院医保智能监管系统需求说明</w:t>
      </w:r>
    </w:p>
    <w:p>
      <w:pPr>
        <w:outlineLvl w:val="0"/>
        <w:rPr>
          <w:rFonts w:ascii="宋体" w:hAnsi="宋体" w:eastAsia="宋体"/>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一、采购内容</w:t>
      </w:r>
    </w:p>
    <w:p>
      <w:pPr>
        <w:rPr>
          <w:rFonts w:ascii="宋体" w:hAnsi="宋体" w:eastAsia="宋体"/>
          <w:color w:val="000000" w:themeColor="text1"/>
          <w14:textFill>
            <w14:solidFill>
              <w14:schemeClr w14:val="tx1"/>
            </w14:solidFill>
          </w14:textFill>
        </w:rPr>
      </w:pPr>
    </w:p>
    <w:tbl>
      <w:tblPr>
        <w:tblStyle w:val="11"/>
        <w:tblW w:w="8362" w:type="dxa"/>
        <w:jc w:val="center"/>
        <w:tblLayout w:type="fixed"/>
        <w:tblCellMar>
          <w:top w:w="0" w:type="dxa"/>
          <w:left w:w="108" w:type="dxa"/>
          <w:bottom w:w="0" w:type="dxa"/>
          <w:right w:w="108" w:type="dxa"/>
        </w:tblCellMar>
      </w:tblPr>
      <w:tblGrid>
        <w:gridCol w:w="1066"/>
        <w:gridCol w:w="6093"/>
        <w:gridCol w:w="1203"/>
      </w:tblGrid>
      <w:tr>
        <w:tblPrEx>
          <w:tblCellMar>
            <w:top w:w="0" w:type="dxa"/>
            <w:left w:w="108" w:type="dxa"/>
            <w:bottom w:w="0" w:type="dxa"/>
            <w:right w:w="108" w:type="dxa"/>
          </w:tblCellMar>
        </w:tblPrEx>
        <w:trPr>
          <w:trHeight w:val="507" w:hRule="atLeast"/>
          <w:tblHeader/>
          <w:jc w:val="center"/>
        </w:trPr>
        <w:tc>
          <w:tcPr>
            <w:tcW w:w="1066" w:type="dxa"/>
            <w:tcBorders>
              <w:top w:val="single" w:color="000000" w:sz="4" w:space="0"/>
              <w:left w:val="single" w:color="000000" w:sz="4" w:space="0"/>
              <w:bottom w:val="single" w:color="auto" w:sz="4" w:space="0"/>
            </w:tcBorders>
            <w:shd w:val="clear" w:color="auto" w:fill="auto"/>
            <w:vAlign w:val="center"/>
          </w:tcPr>
          <w:p>
            <w:pPr>
              <w:jc w:val="center"/>
              <w:rPr>
                <w:rFonts w:ascii="宋体" w:hAnsi="宋体" w:eastAsia="宋体"/>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序号</w:t>
            </w:r>
          </w:p>
        </w:tc>
        <w:tc>
          <w:tcPr>
            <w:tcW w:w="6093" w:type="dxa"/>
            <w:tcBorders>
              <w:top w:val="single" w:color="000000" w:sz="4" w:space="0"/>
              <w:left w:val="single" w:color="000000" w:sz="4" w:space="0"/>
              <w:bottom w:val="single" w:color="auto" w:sz="4" w:space="0"/>
            </w:tcBorders>
            <w:shd w:val="clear" w:color="auto" w:fill="auto"/>
            <w:vAlign w:val="center"/>
          </w:tcPr>
          <w:p>
            <w:pPr>
              <w:jc w:val="center"/>
              <w:rPr>
                <w:rFonts w:ascii="宋体" w:hAnsi="宋体" w:eastAsia="宋体"/>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采购项目名称</w:t>
            </w:r>
          </w:p>
        </w:tc>
        <w:tc>
          <w:tcPr>
            <w:tcW w:w="120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数量</w:t>
            </w:r>
          </w:p>
        </w:tc>
      </w:tr>
      <w:tr>
        <w:tblPrEx>
          <w:tblCellMar>
            <w:top w:w="0" w:type="dxa"/>
            <w:left w:w="108" w:type="dxa"/>
            <w:bottom w:w="0" w:type="dxa"/>
            <w:right w:w="108" w:type="dxa"/>
          </w:tblCellMar>
        </w:tblPrEx>
        <w:trPr>
          <w:trHeight w:val="507" w:hRule="atLeast"/>
          <w:jc w:val="center"/>
        </w:trPr>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w:t>
            </w:r>
          </w:p>
        </w:tc>
        <w:tc>
          <w:tcPr>
            <w:tcW w:w="60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lang w:val="en-US" w:eastAsia="zh-CN"/>
                <w14:textFill>
                  <w14:solidFill>
                    <w14:schemeClr w14:val="tx1"/>
                  </w14:solidFill>
                </w14:textFill>
              </w:rPr>
            </w:pPr>
            <w:r>
              <w:rPr>
                <w:rFonts w:hint="eastAsia" w:ascii="Times New Roman" w:hAnsi="Times New Roman" w:eastAsia="宋体" w:cs="Times New Roman"/>
                <w:sz w:val="28"/>
                <w:szCs w:val="28"/>
                <w:lang w:eastAsia="zh-CN"/>
              </w:rPr>
              <w:t>医保智能监管系统</w:t>
            </w:r>
          </w:p>
        </w:tc>
        <w:tc>
          <w:tcPr>
            <w:tcW w:w="12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1项</w:t>
            </w:r>
          </w:p>
        </w:tc>
      </w:tr>
    </w:tbl>
    <w:p>
      <w:pPr>
        <w:numPr>
          <w:ilvl w:val="0"/>
          <w:numId w:val="2"/>
        </w:numPr>
        <w:spacing w:line="360" w:lineRule="auto"/>
        <w:outlineLvl w:val="0"/>
        <w:rPr>
          <w:rFonts w:ascii="宋体" w:hAnsi="宋体" w:eastAsia="宋体" w:cs="宋体"/>
          <w:b/>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32"/>
          <w:szCs w:val="32"/>
          <w:lang w:eastAsia="zh-CN"/>
          <w14:textFill>
            <w14:solidFill>
              <w14:schemeClr w14:val="tx1"/>
            </w14:solidFill>
          </w14:textFill>
        </w:rPr>
        <w:t>项目背景</w:t>
      </w:r>
    </w:p>
    <w:p>
      <w:pPr>
        <w:snapToGrid w:val="0"/>
        <w:spacing w:line="360" w:lineRule="auto"/>
        <w:ind w:firstLine="480" w:firstLineChars="200"/>
        <w:rPr>
          <w:rFonts w:hint="eastAsia" w:eastAsiaTheme="minorEastAsia"/>
          <w:b/>
          <w:bCs/>
          <w:sz w:val="32"/>
          <w:szCs w:val="32"/>
          <w:highlight w:val="yellow"/>
          <w:u w:val="single"/>
          <w:lang w:eastAsia="zh-CN"/>
        </w:rPr>
      </w:pPr>
      <w:r>
        <w:rPr>
          <w:rFonts w:hint="eastAsia" w:ascii="宋体" w:hAnsi="宋体" w:eastAsia="宋体"/>
          <w:sz w:val="24"/>
        </w:rPr>
        <w:t>本项目为</w:t>
      </w:r>
      <w:r>
        <w:rPr>
          <w:rFonts w:hint="eastAsia" w:ascii="宋体" w:hAnsi="宋体" w:eastAsia="宋体"/>
          <w:sz w:val="24"/>
          <w:lang w:eastAsia="zh-CN"/>
        </w:rPr>
        <w:t>医保办所提需求，主要用于开展医院医保管理系统建设。</w:t>
      </w:r>
      <w:r>
        <w:rPr>
          <w:rFonts w:hint="eastAsia" w:ascii="宋体" w:hAnsi="宋体" w:eastAsia="宋体"/>
          <w:sz w:val="24"/>
        </w:rPr>
        <w:t>目前国家加大了对医保基金的监督管理，各级管理部门开展飞行检查，医保纪检监察、审计的频次增加，对医院的医保管理提出了更高的要求。因此需一款具有综合功能的医保管理专业软件，辅助管理者提高管理水平。</w:t>
      </w:r>
    </w:p>
    <w:p>
      <w:pPr>
        <w:numPr>
          <w:ilvl w:val="0"/>
          <w:numId w:val="2"/>
        </w:numPr>
        <w:spacing w:line="360" w:lineRule="auto"/>
        <w:ind w:left="0" w:leftChars="0" w:firstLine="0" w:firstLineChars="0"/>
        <w:outlineLvl w:val="0"/>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32"/>
          <w:szCs w:val="32"/>
          <w:lang w:eastAsia="zh-CN"/>
          <w14:textFill>
            <w14:solidFill>
              <w14:schemeClr w14:val="tx1"/>
            </w14:solidFill>
          </w14:textFill>
        </w:rPr>
        <w:t>技术要求</w:t>
      </w:r>
    </w:p>
    <w:p>
      <w:pPr>
        <w:numPr>
          <w:ilvl w:val="0"/>
          <w:numId w:val="0"/>
        </w:numPr>
        <w:spacing w:line="360" w:lineRule="auto"/>
        <w:ind w:leftChars="0"/>
        <w:outlineLvl w:val="1"/>
        <w:rPr>
          <w:rFonts w:ascii="宋体" w:cs="宋体"/>
          <w:b/>
          <w:bCs/>
          <w:sz w:val="32"/>
          <w:szCs w:val="32"/>
        </w:rPr>
      </w:pPr>
      <w:r>
        <w:rPr>
          <w:rFonts w:hint="eastAsia" w:ascii="宋体" w:cs="宋体"/>
          <w:b/>
          <w:bCs/>
          <w:sz w:val="32"/>
          <w:szCs w:val="32"/>
          <w:lang w:val="en-US" w:eastAsia="zh-CN"/>
        </w:rPr>
        <w:t>1、</w:t>
      </w:r>
      <w:r>
        <w:rPr>
          <w:rFonts w:ascii="宋体" w:cs="宋体"/>
          <w:b/>
          <w:bCs/>
          <w:sz w:val="32"/>
          <w:szCs w:val="32"/>
        </w:rPr>
        <w:t>标准规范</w:t>
      </w:r>
    </w:p>
    <w:p>
      <w:pPr>
        <w:snapToGrid w:val="0"/>
        <w:spacing w:line="360" w:lineRule="auto"/>
        <w:ind w:firstLine="480" w:firstLineChars="200"/>
        <w:rPr>
          <w:rFonts w:ascii="宋体" w:hAnsi="宋体" w:eastAsia="宋体"/>
          <w:sz w:val="24"/>
        </w:rPr>
      </w:pPr>
      <w:r>
        <w:rPr>
          <w:rFonts w:hint="eastAsia" w:ascii="宋体" w:hAnsi="宋体" w:eastAsia="宋体"/>
          <w:sz w:val="24"/>
        </w:rPr>
        <w:t>医保相关数据有严格的规范及相关要求，例如《结算清单填写规范》、《国家医疗保障局办公室关于贯彻执行</w:t>
      </w:r>
      <w:r>
        <w:rPr>
          <w:rFonts w:ascii="宋体" w:hAnsi="宋体" w:eastAsia="宋体"/>
          <w:sz w:val="24"/>
        </w:rPr>
        <w:t>15项医疗保障信息业务编码标准的通知》等文件</w:t>
      </w:r>
      <w:r>
        <w:rPr>
          <w:rFonts w:hint="eastAsia" w:ascii="宋体" w:hAnsi="宋体" w:eastAsia="宋体"/>
          <w:sz w:val="24"/>
        </w:rPr>
        <w:t>严格规范了医保相关数据的标准，</w:t>
      </w:r>
      <w:r>
        <w:rPr>
          <w:rFonts w:ascii="宋体" w:hAnsi="宋体" w:eastAsia="宋体"/>
          <w:sz w:val="24"/>
        </w:rPr>
        <w:t>同时本项目中需要与</w:t>
      </w:r>
      <w:r>
        <w:rPr>
          <w:rFonts w:hint="eastAsia" w:ascii="宋体" w:hAnsi="宋体" w:eastAsia="宋体"/>
          <w:sz w:val="24"/>
        </w:rPr>
        <w:t>院内</w:t>
      </w:r>
      <w:r>
        <w:rPr>
          <w:rFonts w:ascii="宋体" w:hAnsi="宋体" w:eastAsia="宋体"/>
          <w:sz w:val="24"/>
        </w:rPr>
        <w:t>多个</w:t>
      </w:r>
      <w:r>
        <w:rPr>
          <w:rFonts w:hint="eastAsia" w:ascii="宋体" w:hAnsi="宋体" w:eastAsia="宋体"/>
          <w:sz w:val="24"/>
        </w:rPr>
        <w:t>相关</w:t>
      </w:r>
      <w:r>
        <w:rPr>
          <w:rFonts w:ascii="宋体" w:hAnsi="宋体" w:eastAsia="宋体"/>
          <w:sz w:val="24"/>
        </w:rPr>
        <w:t>业务系统进行对接，</w:t>
      </w:r>
      <w:r>
        <w:rPr>
          <w:rFonts w:hint="eastAsia" w:ascii="宋体" w:hAnsi="宋体" w:eastAsia="宋体"/>
          <w:sz w:val="24"/>
        </w:rPr>
        <w:t>进行信息交换，</w:t>
      </w:r>
      <w:r>
        <w:rPr>
          <w:rFonts w:ascii="宋体" w:hAnsi="宋体" w:eastAsia="宋体"/>
          <w:sz w:val="24"/>
        </w:rPr>
        <w:t>然而这些业务系统是由不同厂商在不同时期建立，采用的数据结构、数据类型与数据尺度等各不相同，加之目前医疗信息领域的标准规范尚未完善，因此，为信息</w:t>
      </w:r>
      <w:r>
        <w:rPr>
          <w:rFonts w:hint="eastAsia" w:ascii="宋体" w:hAnsi="宋体" w:eastAsia="宋体"/>
          <w:sz w:val="24"/>
        </w:rPr>
        <w:t>共享与交换</w:t>
      </w:r>
      <w:r>
        <w:rPr>
          <w:rFonts w:ascii="宋体" w:hAnsi="宋体" w:eastAsia="宋体"/>
          <w:sz w:val="24"/>
        </w:rPr>
        <w:t>带来较大的麻烦。</w:t>
      </w:r>
      <w:r>
        <w:rPr>
          <w:rFonts w:hint="eastAsia" w:ascii="宋体" w:hAnsi="宋体" w:eastAsia="宋体"/>
          <w:sz w:val="24"/>
        </w:rPr>
        <w:t>故</w:t>
      </w:r>
      <w:r>
        <w:rPr>
          <w:rFonts w:ascii="宋体" w:hAnsi="宋体" w:eastAsia="宋体"/>
          <w:sz w:val="24"/>
        </w:rPr>
        <w:t>本项目建设应制订统一的标准，遵循国际、国内、行业已经颁发的各项信息化建设标准。</w:t>
      </w:r>
      <w:r>
        <w:rPr>
          <w:rFonts w:hint="eastAsia" w:ascii="宋体" w:hAnsi="宋体" w:eastAsia="宋体"/>
          <w:sz w:val="24"/>
        </w:rPr>
        <w:t>对于</w:t>
      </w:r>
      <w:r>
        <w:rPr>
          <w:rFonts w:ascii="宋体" w:hAnsi="宋体" w:eastAsia="宋体"/>
          <w:sz w:val="24"/>
        </w:rPr>
        <w:t>本项目</w:t>
      </w:r>
      <w:r>
        <w:rPr>
          <w:rFonts w:hint="eastAsia" w:ascii="宋体" w:hAnsi="宋体" w:eastAsia="宋体"/>
          <w:sz w:val="24"/>
        </w:rPr>
        <w:t>，要求</w:t>
      </w:r>
      <w:r>
        <w:rPr>
          <w:rFonts w:ascii="宋体" w:hAnsi="宋体" w:eastAsia="宋体"/>
          <w:sz w:val="24"/>
        </w:rPr>
        <w:t>遵</w:t>
      </w:r>
      <w:r>
        <w:rPr>
          <w:rFonts w:hint="eastAsia" w:ascii="宋体" w:hAnsi="宋体" w:eastAsia="宋体"/>
          <w:sz w:val="24"/>
        </w:rPr>
        <w:t>循以下标准规范：</w:t>
      </w:r>
    </w:p>
    <w:p>
      <w:pPr>
        <w:pStyle w:val="15"/>
        <w:numPr>
          <w:ilvl w:val="0"/>
          <w:numId w:val="3"/>
        </w:numPr>
        <w:suppressAutoHyphens w:val="0"/>
        <w:snapToGrid w:val="0"/>
        <w:spacing w:line="360" w:lineRule="auto"/>
        <w:ind w:firstLineChars="0"/>
        <w:jc w:val="left"/>
        <w:rPr>
          <w:rFonts w:ascii="宋体" w:hAnsi="宋体" w:eastAsia="宋体"/>
          <w:sz w:val="24"/>
        </w:rPr>
      </w:pPr>
      <w:r>
        <w:rPr>
          <w:rFonts w:ascii="宋体" w:hAnsi="宋体" w:eastAsia="宋体"/>
          <w:sz w:val="24"/>
        </w:rPr>
        <w:t></w:t>
      </w:r>
      <w:r>
        <w:rPr>
          <w:rFonts w:ascii="宋体" w:hAnsi="宋体" w:eastAsia="宋体"/>
          <w:sz w:val="24"/>
        </w:rPr>
        <w:tab/>
      </w:r>
      <w:r>
        <w:rPr>
          <w:rFonts w:ascii="宋体" w:hAnsi="宋体" w:eastAsia="宋体"/>
          <w:sz w:val="24"/>
        </w:rPr>
        <w:t>《电子病历基本规范（试行）》</w:t>
      </w:r>
    </w:p>
    <w:p>
      <w:pPr>
        <w:pStyle w:val="15"/>
        <w:numPr>
          <w:ilvl w:val="0"/>
          <w:numId w:val="3"/>
        </w:numPr>
        <w:suppressAutoHyphens w:val="0"/>
        <w:snapToGrid w:val="0"/>
        <w:spacing w:line="360" w:lineRule="auto"/>
        <w:ind w:firstLineChars="0"/>
        <w:jc w:val="left"/>
        <w:rPr>
          <w:rFonts w:ascii="宋体" w:hAnsi="宋体" w:eastAsia="宋体"/>
          <w:sz w:val="24"/>
        </w:rPr>
      </w:pPr>
      <w:r>
        <w:rPr>
          <w:rFonts w:ascii="宋体" w:hAnsi="宋体" w:eastAsia="宋体"/>
          <w:sz w:val="24"/>
        </w:rPr>
        <w:t></w:t>
      </w:r>
      <w:r>
        <w:rPr>
          <w:rFonts w:ascii="宋体" w:hAnsi="宋体" w:eastAsia="宋体"/>
          <w:sz w:val="24"/>
        </w:rPr>
        <w:tab/>
      </w:r>
      <w:r>
        <w:rPr>
          <w:rFonts w:ascii="宋体" w:hAnsi="宋体" w:eastAsia="宋体"/>
          <w:sz w:val="24"/>
        </w:rPr>
        <w:t>《健康档案共享文档规范》</w:t>
      </w:r>
    </w:p>
    <w:p>
      <w:pPr>
        <w:pStyle w:val="15"/>
        <w:numPr>
          <w:ilvl w:val="0"/>
          <w:numId w:val="3"/>
        </w:numPr>
        <w:suppressAutoHyphens w:val="0"/>
        <w:snapToGrid w:val="0"/>
        <w:spacing w:line="360" w:lineRule="auto"/>
        <w:ind w:firstLineChars="0"/>
        <w:jc w:val="left"/>
        <w:rPr>
          <w:rFonts w:ascii="宋体" w:hAnsi="宋体" w:eastAsia="宋体"/>
          <w:sz w:val="24"/>
        </w:rPr>
      </w:pPr>
      <w:r>
        <w:rPr>
          <w:rFonts w:ascii="宋体" w:hAnsi="宋体" w:eastAsia="宋体"/>
          <w:sz w:val="24"/>
        </w:rPr>
        <w:t></w:t>
      </w:r>
      <w:r>
        <w:rPr>
          <w:rFonts w:ascii="宋体" w:hAnsi="宋体" w:eastAsia="宋体"/>
          <w:sz w:val="24"/>
        </w:rPr>
        <w:tab/>
      </w:r>
      <w:r>
        <w:rPr>
          <w:rFonts w:ascii="宋体" w:hAnsi="宋体" w:eastAsia="宋体"/>
          <w:sz w:val="24"/>
        </w:rPr>
        <w:t>《住院病案首页数据填写质量规范（暂行）》</w:t>
      </w:r>
    </w:p>
    <w:p>
      <w:pPr>
        <w:pStyle w:val="15"/>
        <w:numPr>
          <w:ilvl w:val="0"/>
          <w:numId w:val="3"/>
        </w:numPr>
        <w:suppressAutoHyphens w:val="0"/>
        <w:snapToGrid w:val="0"/>
        <w:spacing w:line="360" w:lineRule="auto"/>
        <w:ind w:firstLineChars="0"/>
        <w:jc w:val="left"/>
        <w:rPr>
          <w:rFonts w:ascii="宋体" w:hAnsi="宋体" w:eastAsia="宋体"/>
          <w:sz w:val="24"/>
        </w:rPr>
      </w:pPr>
      <w:r>
        <w:rPr>
          <w:rFonts w:ascii="宋体" w:hAnsi="宋体" w:eastAsia="宋体"/>
          <w:sz w:val="24"/>
        </w:rPr>
        <w:t></w:t>
      </w:r>
      <w:r>
        <w:rPr>
          <w:rFonts w:ascii="宋体" w:hAnsi="宋体" w:eastAsia="宋体"/>
          <w:sz w:val="24"/>
        </w:rPr>
        <w:tab/>
      </w:r>
      <w:r>
        <w:rPr>
          <w:rFonts w:ascii="宋体" w:hAnsi="宋体" w:eastAsia="宋体"/>
          <w:sz w:val="24"/>
        </w:rPr>
        <w:t>ICD9</w:t>
      </w:r>
    </w:p>
    <w:p>
      <w:pPr>
        <w:pStyle w:val="15"/>
        <w:numPr>
          <w:ilvl w:val="0"/>
          <w:numId w:val="3"/>
        </w:numPr>
        <w:suppressAutoHyphens w:val="0"/>
        <w:snapToGrid w:val="0"/>
        <w:spacing w:line="360" w:lineRule="auto"/>
        <w:ind w:firstLineChars="0"/>
        <w:jc w:val="left"/>
        <w:rPr>
          <w:rFonts w:ascii="宋体" w:hAnsi="宋体" w:eastAsia="宋体"/>
          <w:sz w:val="24"/>
        </w:rPr>
      </w:pPr>
      <w:r>
        <w:rPr>
          <w:rFonts w:ascii="宋体" w:hAnsi="宋体" w:eastAsia="宋体"/>
          <w:sz w:val="24"/>
        </w:rPr>
        <w:t></w:t>
      </w:r>
      <w:r>
        <w:rPr>
          <w:rFonts w:ascii="宋体" w:hAnsi="宋体" w:eastAsia="宋体"/>
          <w:sz w:val="24"/>
        </w:rPr>
        <w:tab/>
      </w:r>
      <w:r>
        <w:rPr>
          <w:rFonts w:ascii="宋体" w:hAnsi="宋体" w:eastAsia="宋体"/>
          <w:sz w:val="24"/>
        </w:rPr>
        <w:t>ICD10疾病诊断字典</w:t>
      </w:r>
    </w:p>
    <w:p>
      <w:pPr>
        <w:pStyle w:val="15"/>
        <w:numPr>
          <w:ilvl w:val="0"/>
          <w:numId w:val="3"/>
        </w:numPr>
        <w:suppressAutoHyphens w:val="0"/>
        <w:snapToGrid w:val="0"/>
        <w:spacing w:line="360" w:lineRule="auto"/>
        <w:ind w:firstLineChars="0"/>
        <w:jc w:val="left"/>
        <w:rPr>
          <w:rFonts w:ascii="宋体" w:hAnsi="宋体" w:eastAsia="宋体"/>
          <w:sz w:val="24"/>
        </w:rPr>
      </w:pPr>
      <w:r>
        <w:rPr>
          <w:rFonts w:ascii="宋体" w:hAnsi="宋体" w:eastAsia="宋体"/>
          <w:sz w:val="24"/>
        </w:rPr>
        <w:t></w:t>
      </w:r>
      <w:r>
        <w:rPr>
          <w:rFonts w:ascii="宋体" w:hAnsi="宋体" w:eastAsia="宋体"/>
          <w:sz w:val="24"/>
        </w:rPr>
        <w:tab/>
      </w:r>
      <w:r>
        <w:rPr>
          <w:rFonts w:ascii="宋体" w:hAnsi="宋体" w:eastAsia="宋体"/>
          <w:sz w:val="24"/>
        </w:rPr>
        <w:t>XML输出标准</w:t>
      </w:r>
    </w:p>
    <w:p>
      <w:pPr>
        <w:pStyle w:val="15"/>
        <w:numPr>
          <w:ilvl w:val="0"/>
          <w:numId w:val="3"/>
        </w:numPr>
        <w:suppressAutoHyphens w:val="0"/>
        <w:snapToGrid w:val="0"/>
        <w:spacing w:line="360" w:lineRule="auto"/>
        <w:ind w:firstLineChars="0"/>
        <w:jc w:val="left"/>
        <w:rPr>
          <w:rFonts w:ascii="宋体" w:hAnsi="宋体" w:eastAsia="宋体"/>
          <w:sz w:val="24"/>
        </w:rPr>
      </w:pPr>
      <w:r>
        <w:rPr>
          <w:rFonts w:ascii="宋体" w:hAnsi="宋体" w:eastAsia="宋体"/>
          <w:sz w:val="24"/>
        </w:rPr>
        <w:t></w:t>
      </w:r>
      <w:r>
        <w:rPr>
          <w:rFonts w:ascii="宋体" w:hAnsi="宋体" w:eastAsia="宋体"/>
          <w:sz w:val="24"/>
        </w:rPr>
        <w:tab/>
      </w:r>
      <w:r>
        <w:rPr>
          <w:rFonts w:ascii="宋体" w:hAnsi="宋体" w:eastAsia="宋体"/>
          <w:sz w:val="24"/>
        </w:rPr>
        <w:t>HL7</w:t>
      </w:r>
    </w:p>
    <w:p>
      <w:pPr>
        <w:pStyle w:val="15"/>
        <w:numPr>
          <w:ilvl w:val="0"/>
          <w:numId w:val="3"/>
        </w:numPr>
        <w:suppressAutoHyphens w:val="0"/>
        <w:snapToGrid w:val="0"/>
        <w:spacing w:line="360" w:lineRule="auto"/>
        <w:ind w:firstLineChars="0"/>
        <w:jc w:val="left"/>
        <w:rPr>
          <w:rFonts w:ascii="宋体" w:hAnsi="宋体" w:eastAsia="宋体"/>
          <w:sz w:val="24"/>
        </w:rPr>
      </w:pPr>
      <w:r>
        <w:rPr>
          <w:rFonts w:ascii="宋体" w:hAnsi="宋体" w:eastAsia="宋体"/>
          <w:sz w:val="24"/>
        </w:rPr>
        <w:t></w:t>
      </w:r>
      <w:r>
        <w:rPr>
          <w:rFonts w:ascii="宋体" w:hAnsi="宋体" w:eastAsia="宋体"/>
          <w:sz w:val="24"/>
        </w:rPr>
        <w:tab/>
      </w:r>
      <w:r>
        <w:rPr>
          <w:rFonts w:ascii="宋体" w:hAnsi="宋体" w:eastAsia="宋体"/>
          <w:sz w:val="24"/>
        </w:rPr>
        <w:t>DICOM标准</w:t>
      </w:r>
    </w:p>
    <w:p>
      <w:pPr>
        <w:pStyle w:val="15"/>
        <w:numPr>
          <w:ilvl w:val="0"/>
          <w:numId w:val="3"/>
        </w:numPr>
        <w:suppressAutoHyphens w:val="0"/>
        <w:snapToGrid w:val="0"/>
        <w:spacing w:line="360" w:lineRule="auto"/>
        <w:ind w:firstLineChars="0"/>
        <w:jc w:val="left"/>
        <w:rPr>
          <w:rFonts w:ascii="宋体" w:hAnsi="宋体" w:eastAsia="宋体"/>
          <w:sz w:val="24"/>
        </w:rPr>
      </w:pPr>
      <w:r>
        <w:rPr>
          <w:rFonts w:ascii="宋体" w:hAnsi="宋体" w:eastAsia="宋体"/>
          <w:sz w:val="24"/>
        </w:rPr>
        <w:t></w:t>
      </w:r>
      <w:r>
        <w:rPr>
          <w:rFonts w:ascii="宋体" w:hAnsi="宋体" w:eastAsia="宋体"/>
          <w:sz w:val="24"/>
        </w:rPr>
        <w:tab/>
      </w:r>
      <w:r>
        <w:rPr>
          <w:rFonts w:ascii="宋体" w:hAnsi="宋体" w:eastAsia="宋体"/>
          <w:sz w:val="24"/>
        </w:rPr>
        <w:t>《ISO9000质量体系标准》</w:t>
      </w:r>
    </w:p>
    <w:p>
      <w:pPr>
        <w:pStyle w:val="15"/>
        <w:numPr>
          <w:ilvl w:val="0"/>
          <w:numId w:val="3"/>
        </w:numPr>
        <w:suppressAutoHyphens w:val="0"/>
        <w:snapToGrid w:val="0"/>
        <w:spacing w:line="360" w:lineRule="auto"/>
        <w:ind w:firstLineChars="0"/>
        <w:jc w:val="left"/>
        <w:rPr>
          <w:rFonts w:ascii="宋体" w:hAnsi="宋体" w:eastAsia="宋体"/>
          <w:sz w:val="24"/>
        </w:rPr>
      </w:pPr>
      <w:r>
        <w:rPr>
          <w:rFonts w:ascii="宋体" w:hAnsi="宋体" w:eastAsia="宋体"/>
          <w:sz w:val="24"/>
        </w:rPr>
        <w:t></w:t>
      </w:r>
      <w:r>
        <w:rPr>
          <w:rFonts w:ascii="宋体" w:hAnsi="宋体" w:eastAsia="宋体"/>
          <w:sz w:val="24"/>
        </w:rPr>
        <w:tab/>
      </w:r>
      <w:r>
        <w:rPr>
          <w:rFonts w:ascii="宋体" w:hAnsi="宋体" w:eastAsia="宋体"/>
          <w:sz w:val="24"/>
        </w:rPr>
        <w:t>GB/T 8567 计算机软件文档编制规范；</w:t>
      </w:r>
    </w:p>
    <w:p>
      <w:pPr>
        <w:pStyle w:val="15"/>
        <w:numPr>
          <w:ilvl w:val="0"/>
          <w:numId w:val="3"/>
        </w:numPr>
        <w:suppressAutoHyphens w:val="0"/>
        <w:snapToGrid w:val="0"/>
        <w:spacing w:line="360" w:lineRule="auto"/>
        <w:ind w:firstLineChars="0"/>
        <w:jc w:val="left"/>
        <w:rPr>
          <w:rFonts w:ascii="宋体" w:hAnsi="宋体" w:eastAsia="宋体"/>
          <w:sz w:val="24"/>
        </w:rPr>
      </w:pPr>
      <w:r>
        <w:rPr>
          <w:rFonts w:ascii="宋体" w:hAnsi="宋体" w:eastAsia="宋体"/>
          <w:sz w:val="24"/>
        </w:rPr>
        <w:t></w:t>
      </w:r>
      <w:r>
        <w:rPr>
          <w:rFonts w:ascii="宋体" w:hAnsi="宋体" w:eastAsia="宋体"/>
          <w:sz w:val="24"/>
        </w:rPr>
        <w:tab/>
      </w:r>
      <w:r>
        <w:rPr>
          <w:rFonts w:ascii="宋体" w:hAnsi="宋体" w:eastAsia="宋体"/>
          <w:sz w:val="24"/>
        </w:rPr>
        <w:t>GB/T 9385 计算机软件需求规格说明规范；</w:t>
      </w:r>
    </w:p>
    <w:p>
      <w:pPr>
        <w:pStyle w:val="15"/>
        <w:numPr>
          <w:ilvl w:val="0"/>
          <w:numId w:val="3"/>
        </w:numPr>
        <w:suppressAutoHyphens w:val="0"/>
        <w:snapToGrid w:val="0"/>
        <w:spacing w:line="360" w:lineRule="auto"/>
        <w:ind w:firstLineChars="0"/>
        <w:jc w:val="left"/>
        <w:rPr>
          <w:rFonts w:ascii="宋体" w:hAnsi="宋体" w:eastAsia="宋体"/>
          <w:sz w:val="24"/>
        </w:rPr>
      </w:pPr>
      <w:r>
        <w:rPr>
          <w:rFonts w:ascii="宋体" w:hAnsi="宋体" w:eastAsia="宋体"/>
          <w:sz w:val="24"/>
        </w:rPr>
        <w:t></w:t>
      </w:r>
      <w:r>
        <w:rPr>
          <w:rFonts w:ascii="宋体" w:hAnsi="宋体" w:eastAsia="宋体"/>
          <w:sz w:val="24"/>
        </w:rPr>
        <w:tab/>
      </w:r>
      <w:r>
        <w:rPr>
          <w:rFonts w:ascii="宋体" w:hAnsi="宋体" w:eastAsia="宋体"/>
          <w:sz w:val="24"/>
        </w:rPr>
        <w:t>GB/T 9386 计算机软件测试文档编制规范；</w:t>
      </w:r>
    </w:p>
    <w:p>
      <w:pPr>
        <w:pStyle w:val="15"/>
        <w:numPr>
          <w:ilvl w:val="0"/>
          <w:numId w:val="3"/>
        </w:numPr>
        <w:suppressAutoHyphens w:val="0"/>
        <w:snapToGrid w:val="0"/>
        <w:spacing w:line="360" w:lineRule="auto"/>
        <w:ind w:firstLineChars="0"/>
        <w:jc w:val="left"/>
        <w:rPr>
          <w:rFonts w:ascii="宋体" w:hAnsi="宋体" w:eastAsia="宋体"/>
          <w:sz w:val="24"/>
        </w:rPr>
      </w:pPr>
      <w:r>
        <w:rPr>
          <w:rFonts w:ascii="宋体" w:hAnsi="宋体" w:eastAsia="宋体"/>
          <w:sz w:val="24"/>
        </w:rPr>
        <w:t></w:t>
      </w:r>
      <w:r>
        <w:rPr>
          <w:rFonts w:ascii="宋体" w:hAnsi="宋体" w:eastAsia="宋体"/>
          <w:sz w:val="24"/>
        </w:rPr>
        <w:tab/>
      </w:r>
      <w:r>
        <w:rPr>
          <w:rFonts w:ascii="宋体" w:hAnsi="宋体" w:eastAsia="宋体"/>
          <w:sz w:val="24"/>
        </w:rPr>
        <w:t>GB/T 15532 计算机软件测试规范；</w:t>
      </w:r>
    </w:p>
    <w:p>
      <w:pPr>
        <w:pStyle w:val="15"/>
        <w:numPr>
          <w:ilvl w:val="0"/>
          <w:numId w:val="3"/>
        </w:numPr>
        <w:suppressAutoHyphens w:val="0"/>
        <w:snapToGrid w:val="0"/>
        <w:spacing w:line="360" w:lineRule="auto"/>
        <w:ind w:firstLineChars="0"/>
        <w:jc w:val="left"/>
        <w:rPr>
          <w:rFonts w:ascii="宋体" w:hAnsi="宋体" w:eastAsia="宋体"/>
          <w:sz w:val="24"/>
        </w:rPr>
      </w:pPr>
      <w:r>
        <w:rPr>
          <w:rFonts w:ascii="宋体" w:hAnsi="宋体" w:eastAsia="宋体"/>
          <w:sz w:val="24"/>
        </w:rPr>
        <w:t></w:t>
      </w:r>
      <w:r>
        <w:rPr>
          <w:rFonts w:ascii="宋体" w:hAnsi="宋体" w:eastAsia="宋体"/>
          <w:sz w:val="24"/>
        </w:rPr>
        <w:tab/>
      </w:r>
      <w:r>
        <w:rPr>
          <w:rFonts w:ascii="宋体" w:hAnsi="宋体" w:eastAsia="宋体"/>
          <w:sz w:val="24"/>
        </w:rPr>
        <w:t>GB/T 28035 软件系统验收规范</w:t>
      </w:r>
    </w:p>
    <w:p>
      <w:pPr>
        <w:pStyle w:val="15"/>
        <w:numPr>
          <w:ilvl w:val="0"/>
          <w:numId w:val="3"/>
        </w:numPr>
        <w:suppressAutoHyphens w:val="0"/>
        <w:snapToGrid w:val="0"/>
        <w:spacing w:line="360" w:lineRule="auto"/>
        <w:ind w:firstLineChars="0"/>
        <w:jc w:val="left"/>
        <w:rPr>
          <w:rFonts w:ascii="宋体" w:hAnsi="宋体" w:eastAsia="宋体"/>
          <w:sz w:val="24"/>
        </w:rPr>
      </w:pPr>
      <w:r>
        <w:rPr>
          <w:rFonts w:ascii="宋体" w:hAnsi="宋体" w:eastAsia="宋体"/>
          <w:sz w:val="24"/>
        </w:rPr>
        <w:t></w:t>
      </w:r>
      <w:r>
        <w:rPr>
          <w:rFonts w:ascii="宋体" w:hAnsi="宋体" w:eastAsia="宋体"/>
          <w:sz w:val="24"/>
        </w:rPr>
        <w:tab/>
      </w:r>
      <w:r>
        <w:rPr>
          <w:rFonts w:ascii="宋体" w:hAnsi="宋体" w:eastAsia="宋体"/>
          <w:sz w:val="24"/>
        </w:rPr>
        <w:t>SJ 20822 信息技术软件维护</w:t>
      </w:r>
    </w:p>
    <w:p>
      <w:pPr>
        <w:pStyle w:val="15"/>
        <w:numPr>
          <w:ilvl w:val="0"/>
          <w:numId w:val="3"/>
        </w:numPr>
        <w:suppressAutoHyphens w:val="0"/>
        <w:snapToGrid w:val="0"/>
        <w:spacing w:line="360" w:lineRule="auto"/>
        <w:ind w:firstLineChars="0"/>
        <w:jc w:val="left"/>
        <w:rPr>
          <w:rFonts w:ascii="宋体" w:hAnsi="宋体" w:eastAsia="宋体"/>
          <w:sz w:val="24"/>
        </w:rPr>
      </w:pPr>
      <w:r>
        <w:rPr>
          <w:rFonts w:hint="eastAsia" w:ascii="宋体" w:hAnsi="宋体" w:eastAsia="宋体"/>
          <w:sz w:val="24"/>
        </w:rPr>
        <w:t>…</w:t>
      </w:r>
    </w:p>
    <w:p>
      <w:pPr>
        <w:snapToGrid w:val="0"/>
        <w:spacing w:line="360" w:lineRule="auto"/>
        <w:ind w:firstLine="424" w:firstLineChars="177"/>
        <w:rPr>
          <w:rFonts w:ascii="宋体" w:hAnsi="宋体" w:eastAsia="宋体"/>
          <w:sz w:val="24"/>
        </w:rPr>
      </w:pPr>
      <w:r>
        <w:rPr>
          <w:rFonts w:hint="eastAsia" w:ascii="宋体" w:hAnsi="宋体" w:eastAsia="宋体"/>
          <w:sz w:val="24"/>
        </w:rPr>
        <w:t>除此之外，在系统建设过程中，需根据医院的实际情况，自定义设置符合医院实际需求以及系统建设的数据标准。</w:t>
      </w:r>
    </w:p>
    <w:p>
      <w:pPr>
        <w:pStyle w:val="15"/>
        <w:numPr>
          <w:ilvl w:val="0"/>
          <w:numId w:val="0"/>
        </w:numPr>
        <w:spacing w:before="156" w:beforeLines="50" w:after="156" w:afterLines="50" w:line="360" w:lineRule="auto"/>
        <w:ind w:leftChars="0"/>
        <w:outlineLvl w:val="1"/>
        <w:rPr>
          <w:rFonts w:ascii="宋体" w:cs="宋体"/>
          <w:b/>
          <w:bCs/>
          <w:sz w:val="32"/>
          <w:szCs w:val="32"/>
        </w:rPr>
      </w:pPr>
      <w:r>
        <w:rPr>
          <w:rFonts w:hint="eastAsia" w:ascii="宋体" w:cs="宋体"/>
          <w:b/>
          <w:bCs/>
          <w:sz w:val="32"/>
          <w:szCs w:val="32"/>
          <w:lang w:val="en-US" w:eastAsia="zh-CN"/>
        </w:rPr>
        <w:t>2、</w:t>
      </w:r>
      <w:r>
        <w:rPr>
          <w:rFonts w:hint="eastAsia" w:ascii="宋体" w:cs="宋体"/>
          <w:b/>
          <w:bCs/>
          <w:sz w:val="32"/>
          <w:szCs w:val="32"/>
        </w:rPr>
        <w:t>整体技术要求</w:t>
      </w:r>
    </w:p>
    <w:p>
      <w:pPr>
        <w:pStyle w:val="16"/>
        <w:adjustRightInd w:val="0"/>
        <w:snapToGrid w:val="0"/>
        <w:spacing w:line="360" w:lineRule="auto"/>
        <w:ind w:firstLine="420" w:firstLineChars="175"/>
        <w:rPr>
          <w:rFonts w:ascii="宋体" w:hAnsi="宋体" w:eastAsia="宋体" w:cs="宋体"/>
          <w:sz w:val="24"/>
          <w:szCs w:val="24"/>
          <w:lang w:eastAsia="zh-CN"/>
        </w:rPr>
      </w:pPr>
      <w:r>
        <w:rPr>
          <w:rFonts w:hint="eastAsia" w:ascii="宋体" w:hAnsi="宋体" w:eastAsia="宋体" w:cs="宋体"/>
          <w:sz w:val="24"/>
          <w:szCs w:val="24"/>
          <w:lang w:val="en-US" w:eastAsia="zh-CN"/>
        </w:rPr>
        <w:t>2.1.</w:t>
      </w:r>
      <w:r>
        <w:rPr>
          <w:rFonts w:hint="eastAsia" w:ascii="宋体" w:hAnsi="宋体" w:eastAsia="宋体" w:cs="宋体"/>
          <w:sz w:val="24"/>
          <w:szCs w:val="24"/>
          <w:lang w:eastAsia="zh-CN"/>
        </w:rPr>
        <w:t>服务器需支持Unix、Linux、Windows等主流操作系统。</w:t>
      </w:r>
    </w:p>
    <w:p>
      <w:pPr>
        <w:pStyle w:val="16"/>
        <w:adjustRightInd w:val="0"/>
        <w:snapToGrid w:val="0"/>
        <w:spacing w:line="360" w:lineRule="auto"/>
        <w:ind w:firstLine="420" w:firstLineChars="175"/>
        <w:rPr>
          <w:rFonts w:ascii="宋体" w:hAnsi="宋体" w:eastAsia="宋体" w:cs="宋体"/>
          <w:sz w:val="24"/>
          <w:szCs w:val="24"/>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lang w:eastAsia="zh-CN"/>
        </w:rPr>
        <w:t>应用展现需采用主流的浏览器，包括但不限于IE、Chrome、Safari等；</w:t>
      </w:r>
    </w:p>
    <w:p>
      <w:pPr>
        <w:pStyle w:val="16"/>
        <w:adjustRightInd w:val="0"/>
        <w:snapToGrid w:val="0"/>
        <w:spacing w:line="360" w:lineRule="auto"/>
        <w:ind w:firstLine="420" w:firstLineChars="175"/>
        <w:rPr>
          <w:rFonts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3.系统需采用B/S架构，纯Web操作环境，输入URL地址，即可访问。</w:t>
      </w:r>
    </w:p>
    <w:p>
      <w:pPr>
        <w:pStyle w:val="16"/>
        <w:adjustRightInd w:val="0"/>
        <w:snapToGrid w:val="0"/>
        <w:spacing w:line="360" w:lineRule="auto"/>
        <w:ind w:firstLine="420" w:firstLineChars="175"/>
        <w:rPr>
          <w:rFonts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4.开发语言：JAVA、C#、Python等主流开发语言；</w:t>
      </w:r>
    </w:p>
    <w:p>
      <w:pPr>
        <w:pStyle w:val="16"/>
        <w:adjustRightInd w:val="0"/>
        <w:snapToGrid w:val="0"/>
        <w:spacing w:line="360" w:lineRule="auto"/>
        <w:ind w:firstLine="420" w:firstLineChars="175"/>
        <w:rPr>
          <w:rFonts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5.数据库：Oracle、 SQL Server、MySQL、Postgresql等主流数据库；</w:t>
      </w:r>
    </w:p>
    <w:p>
      <w:pPr>
        <w:pStyle w:val="15"/>
        <w:numPr>
          <w:ilvl w:val="0"/>
          <w:numId w:val="0"/>
        </w:numPr>
        <w:spacing w:before="156" w:beforeLines="50" w:after="156" w:afterLines="50" w:line="360" w:lineRule="auto"/>
        <w:ind w:leftChars="0"/>
        <w:outlineLvl w:val="1"/>
        <w:rPr>
          <w:rFonts w:ascii="宋体" w:cs="宋体"/>
          <w:b/>
          <w:bCs/>
          <w:sz w:val="32"/>
          <w:szCs w:val="32"/>
        </w:rPr>
      </w:pPr>
      <w:r>
        <w:rPr>
          <w:rFonts w:hint="eastAsia" w:ascii="宋体" w:cs="宋体"/>
          <w:b/>
          <w:bCs/>
          <w:sz w:val="32"/>
          <w:szCs w:val="32"/>
          <w:lang w:val="en-US" w:eastAsia="zh-CN"/>
        </w:rPr>
        <w:t>3、</w:t>
      </w:r>
      <w:r>
        <w:rPr>
          <w:rFonts w:hint="eastAsia" w:ascii="宋体" w:cs="宋体"/>
          <w:b/>
          <w:bCs/>
          <w:sz w:val="32"/>
          <w:szCs w:val="32"/>
        </w:rPr>
        <w:t>数据处理要求</w:t>
      </w:r>
    </w:p>
    <w:p>
      <w:pPr>
        <w:spacing w:line="360" w:lineRule="auto"/>
        <w:ind w:firstLine="480" w:firstLineChars="200"/>
        <w:jc w:val="left"/>
        <w:rPr>
          <w:rFonts w:ascii="宋体" w:hAnsi="宋体" w:cs="宋体"/>
          <w:smallCaps/>
          <w:sz w:val="24"/>
        </w:rPr>
      </w:pPr>
      <w:r>
        <w:rPr>
          <w:rFonts w:hint="eastAsia" w:ascii="宋体" w:hAnsi="宋体" w:cs="宋体"/>
          <w:smallCaps/>
          <w:sz w:val="24"/>
          <w:lang w:val="en-US" w:eastAsia="zh-CN"/>
        </w:rPr>
        <w:t>3.</w:t>
      </w:r>
      <w:r>
        <w:rPr>
          <w:rFonts w:hint="eastAsia" w:ascii="宋体" w:hAnsi="宋体" w:cs="宋体"/>
          <w:smallCaps/>
          <w:sz w:val="24"/>
        </w:rPr>
        <w:t>1.数据源管理</w:t>
      </w:r>
    </w:p>
    <w:p>
      <w:pPr>
        <w:spacing w:line="360" w:lineRule="auto"/>
        <w:ind w:firstLine="480" w:firstLineChars="200"/>
        <w:jc w:val="left"/>
        <w:rPr>
          <w:rFonts w:ascii="宋体" w:hAnsi="宋体" w:cs="宋体"/>
          <w:smallCaps/>
          <w:sz w:val="24"/>
        </w:rPr>
      </w:pPr>
      <w:r>
        <w:rPr>
          <w:rFonts w:hint="eastAsia" w:ascii="宋体" w:hAnsi="宋体" w:cs="宋体"/>
          <w:smallCaps/>
          <w:sz w:val="24"/>
        </w:rPr>
        <w:t>1)</w:t>
      </w:r>
      <w:r>
        <w:rPr>
          <w:rFonts w:hint="eastAsia" w:ascii="宋体" w:hAnsi="宋体" w:cs="宋体"/>
          <w:smallCaps/>
          <w:sz w:val="24"/>
        </w:rPr>
        <w:tab/>
      </w:r>
      <w:r>
        <w:rPr>
          <w:rFonts w:hint="eastAsia" w:ascii="宋体" w:hAnsi="宋体" w:cs="宋体"/>
          <w:smallCaps/>
          <w:sz w:val="24"/>
        </w:rPr>
        <w:t>需支持对目前市面上各类数据库的数据源进行采集，包括Mysql、Postgresql、Clickhouse、Oracle、Sqlserver、DB2、Starrocks接口等；</w:t>
      </w:r>
    </w:p>
    <w:p>
      <w:pPr>
        <w:spacing w:line="360" w:lineRule="auto"/>
        <w:ind w:firstLine="480" w:firstLineChars="200"/>
        <w:jc w:val="left"/>
        <w:rPr>
          <w:rFonts w:ascii="宋体" w:hAnsi="宋体" w:cs="宋体"/>
          <w:smallCaps/>
          <w:sz w:val="24"/>
        </w:rPr>
      </w:pPr>
      <w:r>
        <w:rPr>
          <w:rFonts w:hint="eastAsia" w:ascii="宋体" w:hAnsi="宋体" w:cs="宋体"/>
          <w:smallCaps/>
          <w:sz w:val="24"/>
        </w:rPr>
        <w:t>2)</w:t>
      </w:r>
      <w:r>
        <w:rPr>
          <w:rFonts w:hint="eastAsia" w:ascii="宋体" w:hAnsi="宋体" w:cs="宋体"/>
          <w:smallCaps/>
          <w:sz w:val="24"/>
        </w:rPr>
        <w:tab/>
      </w:r>
      <w:r>
        <w:rPr>
          <w:rFonts w:hint="eastAsia" w:ascii="宋体" w:hAnsi="宋体" w:cs="宋体"/>
          <w:smallCaps/>
          <w:sz w:val="24"/>
        </w:rPr>
        <w:t>需支持对数据源的创建，包括数据源类型、数据源名称、描述、IP主机名、端口、用户名、数据库等；</w:t>
      </w:r>
    </w:p>
    <w:p>
      <w:pPr>
        <w:spacing w:line="360" w:lineRule="auto"/>
        <w:ind w:firstLine="480" w:firstLineChars="200"/>
        <w:jc w:val="left"/>
        <w:rPr>
          <w:rFonts w:ascii="宋体" w:hAnsi="宋体" w:cs="宋体"/>
          <w:smallCaps/>
          <w:sz w:val="24"/>
        </w:rPr>
      </w:pPr>
      <w:r>
        <w:rPr>
          <w:rFonts w:hint="eastAsia" w:ascii="宋体" w:hAnsi="宋体" w:cs="宋体"/>
          <w:smallCaps/>
          <w:sz w:val="24"/>
        </w:rPr>
        <w:t>3)需支持对整个系统所有的数据源进行统一展示与管理，包括新增、删除、修改的设置，管理员可点击查看数据源的详细信息；</w:t>
      </w:r>
    </w:p>
    <w:p>
      <w:pPr>
        <w:spacing w:line="360" w:lineRule="auto"/>
        <w:ind w:firstLine="480" w:firstLineChars="200"/>
        <w:jc w:val="left"/>
        <w:rPr>
          <w:rFonts w:ascii="宋体" w:hAnsi="宋体" w:cs="宋体"/>
          <w:smallCaps/>
          <w:sz w:val="24"/>
        </w:rPr>
      </w:pPr>
      <w:r>
        <w:rPr>
          <w:rFonts w:hint="eastAsia" w:ascii="宋体" w:hAnsi="宋体" w:cs="宋体"/>
          <w:smallCaps/>
          <w:sz w:val="24"/>
          <w:lang w:val="en-US" w:eastAsia="zh-CN"/>
        </w:rPr>
        <w:t>3.</w:t>
      </w:r>
      <w:r>
        <w:rPr>
          <w:rFonts w:hint="eastAsia" w:ascii="宋体" w:hAnsi="宋体" w:cs="宋体"/>
          <w:smallCaps/>
          <w:sz w:val="24"/>
        </w:rPr>
        <w:t>2.</w:t>
      </w:r>
      <w:r>
        <w:rPr>
          <w:rFonts w:hint="eastAsia" w:ascii="宋体" w:hAnsi="宋体" w:cs="宋体"/>
          <w:smallCaps/>
          <w:sz w:val="24"/>
        </w:rPr>
        <w:tab/>
      </w:r>
      <w:r>
        <w:rPr>
          <w:rFonts w:hint="eastAsia" w:ascii="宋体" w:hAnsi="宋体" w:cs="宋体"/>
          <w:smallCaps/>
          <w:sz w:val="24"/>
        </w:rPr>
        <w:t>数据采集与集成</w:t>
      </w:r>
    </w:p>
    <w:p>
      <w:pPr>
        <w:spacing w:line="360" w:lineRule="auto"/>
        <w:ind w:firstLine="480" w:firstLineChars="200"/>
        <w:jc w:val="left"/>
        <w:rPr>
          <w:rFonts w:ascii="宋体" w:hAnsi="宋体" w:cs="宋体"/>
          <w:smallCaps/>
          <w:sz w:val="24"/>
        </w:rPr>
      </w:pPr>
      <w:r>
        <w:rPr>
          <w:rFonts w:hint="eastAsia" w:ascii="宋体" w:hAnsi="宋体" w:cs="宋体"/>
          <w:smallCaps/>
          <w:sz w:val="24"/>
        </w:rPr>
        <w:t>1)</w:t>
      </w:r>
      <w:r>
        <w:rPr>
          <w:rFonts w:hint="eastAsia" w:ascii="宋体" w:hAnsi="宋体" w:cs="宋体"/>
          <w:smallCaps/>
          <w:sz w:val="24"/>
        </w:rPr>
        <w:tab/>
      </w:r>
      <w:r>
        <w:rPr>
          <w:rFonts w:hint="eastAsia" w:ascii="宋体" w:hAnsi="宋体" w:cs="宋体"/>
          <w:smallCaps/>
          <w:sz w:val="24"/>
        </w:rPr>
        <w:t>需支持批量抽取数据任务，可通过设置数据源类型、数据源以及对应的数据表，即可对源数据进行预览。</w:t>
      </w:r>
    </w:p>
    <w:p>
      <w:pPr>
        <w:spacing w:line="360" w:lineRule="auto"/>
        <w:ind w:firstLine="480" w:firstLineChars="200"/>
        <w:jc w:val="left"/>
        <w:rPr>
          <w:rFonts w:ascii="宋体" w:hAnsi="宋体" w:cs="宋体"/>
          <w:smallCaps/>
          <w:sz w:val="24"/>
        </w:rPr>
      </w:pPr>
      <w:r>
        <w:rPr>
          <w:rFonts w:hint="eastAsia" w:ascii="宋体" w:hAnsi="宋体" w:cs="宋体"/>
          <w:sz w:val="24"/>
        </w:rPr>
        <w:t>▲</w:t>
      </w:r>
      <w:r>
        <w:rPr>
          <w:rFonts w:hint="eastAsia" w:ascii="宋体" w:hAnsi="宋体" w:cs="宋体"/>
          <w:smallCaps/>
          <w:sz w:val="24"/>
        </w:rPr>
        <w:t>2)</w:t>
      </w:r>
      <w:r>
        <w:rPr>
          <w:rFonts w:hint="eastAsia" w:ascii="宋体" w:hAnsi="宋体" w:cs="宋体"/>
          <w:smallCaps/>
          <w:sz w:val="24"/>
        </w:rPr>
        <w:tab/>
      </w:r>
      <w:r>
        <w:rPr>
          <w:rFonts w:hint="eastAsia" w:ascii="宋体" w:hAnsi="宋体" w:cs="宋体"/>
          <w:smallCaps/>
          <w:sz w:val="24"/>
        </w:rPr>
        <w:t>需支持数据库表、视图、API接口可视化采集</w:t>
      </w:r>
      <w:bookmarkStart w:id="0" w:name="OLE_LINK14"/>
      <w:r>
        <w:rPr>
          <w:rFonts w:hint="eastAsia" w:ascii="宋体" w:hAnsi="宋体" w:cs="宋体"/>
          <w:smallCaps/>
          <w:sz w:val="24"/>
        </w:rPr>
        <w:t>（提供产品界面截图示例作为证明依据）</w:t>
      </w:r>
      <w:bookmarkEnd w:id="0"/>
    </w:p>
    <w:p>
      <w:pPr>
        <w:spacing w:line="360" w:lineRule="auto"/>
        <w:ind w:firstLine="480" w:firstLineChars="200"/>
        <w:jc w:val="left"/>
        <w:rPr>
          <w:rFonts w:ascii="宋体" w:hAnsi="宋体" w:cs="宋体"/>
          <w:smallCaps/>
          <w:sz w:val="24"/>
        </w:rPr>
      </w:pPr>
      <w:r>
        <w:rPr>
          <w:rFonts w:hint="eastAsia" w:ascii="宋体" w:hAnsi="宋体" w:cs="宋体"/>
          <w:smallCaps/>
          <w:sz w:val="24"/>
        </w:rPr>
        <w:t>3)</w:t>
      </w:r>
      <w:r>
        <w:rPr>
          <w:rFonts w:hint="eastAsia" w:ascii="宋体" w:hAnsi="宋体" w:cs="宋体"/>
          <w:smallCaps/>
          <w:sz w:val="24"/>
        </w:rPr>
        <w:tab/>
      </w:r>
      <w:r>
        <w:rPr>
          <w:rFonts w:hint="eastAsia" w:ascii="宋体" w:hAnsi="宋体" w:cs="宋体"/>
          <w:smallCaps/>
          <w:sz w:val="24"/>
        </w:rPr>
        <w:t xml:space="preserve">需支持管理员自主选择不同的同步抽取方式、通过SQL设置筛选条件、单次抽取的条数、是否去重； </w:t>
      </w:r>
    </w:p>
    <w:p>
      <w:pPr>
        <w:spacing w:line="360" w:lineRule="auto"/>
        <w:ind w:firstLine="480" w:firstLineChars="200"/>
        <w:jc w:val="left"/>
        <w:rPr>
          <w:rFonts w:ascii="宋体" w:hAnsi="宋体" w:cs="宋体"/>
          <w:smallCaps/>
          <w:sz w:val="24"/>
        </w:rPr>
      </w:pPr>
      <w:r>
        <w:rPr>
          <w:rFonts w:hint="eastAsia" w:ascii="宋体" w:hAnsi="宋体" w:cs="宋体"/>
          <w:smallCaps/>
          <w:sz w:val="24"/>
        </w:rPr>
        <w:t>4)</w:t>
      </w:r>
      <w:r>
        <w:rPr>
          <w:rFonts w:hint="eastAsia" w:ascii="宋体" w:hAnsi="宋体" w:cs="宋体"/>
          <w:smallCaps/>
          <w:sz w:val="24"/>
        </w:rPr>
        <w:tab/>
      </w:r>
      <w:r>
        <w:rPr>
          <w:rFonts w:hint="eastAsia" w:ascii="宋体" w:hAnsi="宋体" w:cs="宋体"/>
          <w:smallCaps/>
          <w:sz w:val="24"/>
        </w:rPr>
        <w:t>需支持通过可视化界面方式设置工作流，系统应提供丰富的组件库，包括shell脚本、sql、http、数据同步、数据质控、移动推送等节点组件，通过拖拉的方式即可实现对采集工作流的设置；</w:t>
      </w:r>
    </w:p>
    <w:p>
      <w:pPr>
        <w:spacing w:line="360" w:lineRule="auto"/>
        <w:ind w:firstLine="480" w:firstLineChars="200"/>
        <w:jc w:val="left"/>
        <w:rPr>
          <w:rFonts w:ascii="宋体" w:hAnsi="宋体" w:cs="宋体"/>
          <w:smallCaps/>
          <w:sz w:val="24"/>
        </w:rPr>
      </w:pPr>
      <w:r>
        <w:rPr>
          <w:rFonts w:hint="eastAsia" w:ascii="宋体" w:hAnsi="宋体" w:cs="宋体"/>
          <w:smallCaps/>
          <w:sz w:val="24"/>
        </w:rPr>
        <w:t>5)</w:t>
      </w:r>
      <w:r>
        <w:rPr>
          <w:rFonts w:hint="eastAsia" w:ascii="宋体" w:hAnsi="宋体" w:cs="宋体"/>
          <w:smallCaps/>
          <w:sz w:val="24"/>
        </w:rPr>
        <w:tab/>
      </w:r>
      <w:bookmarkStart w:id="1" w:name="_Hlk209086070"/>
      <w:r>
        <w:rPr>
          <w:rFonts w:hint="eastAsia" w:ascii="宋体" w:hAnsi="宋体" w:eastAsia="宋体" w:cs="宋体"/>
          <w:smallCaps/>
          <w:sz w:val="24"/>
        </w:rPr>
        <w:t>需支持</w:t>
      </w:r>
      <w:r>
        <w:rPr>
          <w:rFonts w:hint="eastAsia" w:ascii="宋体" w:hAnsi="宋体" w:cs="宋体"/>
          <w:smallCaps/>
          <w:sz w:val="24"/>
        </w:rPr>
        <w:t>数据表的分区、分桶、主键可在页面进行配置</w:t>
      </w:r>
      <w:bookmarkEnd w:id="1"/>
      <w:r>
        <w:rPr>
          <w:rFonts w:hint="eastAsia" w:ascii="宋体" w:hAnsi="宋体" w:cs="宋体"/>
          <w:smallCaps/>
          <w:sz w:val="24"/>
        </w:rPr>
        <w:t>（需进行功能演示）；</w:t>
      </w:r>
    </w:p>
    <w:p>
      <w:pPr>
        <w:spacing w:line="360" w:lineRule="auto"/>
        <w:ind w:firstLine="480" w:firstLineChars="200"/>
        <w:jc w:val="left"/>
        <w:rPr>
          <w:rFonts w:ascii="宋体" w:hAnsi="宋体" w:cs="宋体"/>
          <w:smallCaps/>
          <w:sz w:val="24"/>
        </w:rPr>
      </w:pPr>
      <w:r>
        <w:rPr>
          <w:rFonts w:hint="eastAsia" w:ascii="宋体" w:hAnsi="宋体" w:cs="宋体"/>
          <w:smallCaps/>
          <w:sz w:val="24"/>
        </w:rPr>
        <w:t>6)</w:t>
      </w:r>
      <w:r>
        <w:rPr>
          <w:rFonts w:hint="eastAsia" w:ascii="宋体" w:hAnsi="宋体" w:cs="宋体"/>
          <w:smallCaps/>
          <w:sz w:val="24"/>
        </w:rPr>
        <w:tab/>
      </w:r>
      <w:r>
        <w:rPr>
          <w:rFonts w:hint="eastAsia" w:ascii="宋体" w:hAnsi="宋体" w:cs="宋体"/>
          <w:smallCaps/>
          <w:sz w:val="24"/>
        </w:rPr>
        <w:t xml:space="preserve">需支持管理人员对工作流的每个节点进行自定义设置，包括节点名称、任务优先级、失败重试次数、是否进行超时预警、数据源、数据库表、同步方式、单次条数等； </w:t>
      </w:r>
    </w:p>
    <w:p>
      <w:pPr>
        <w:spacing w:line="360" w:lineRule="auto"/>
        <w:ind w:firstLine="480" w:firstLineChars="200"/>
        <w:jc w:val="left"/>
        <w:rPr>
          <w:rFonts w:ascii="宋体" w:hAnsi="宋体" w:cs="宋体"/>
          <w:smallCaps/>
          <w:sz w:val="24"/>
        </w:rPr>
      </w:pPr>
      <w:r>
        <w:rPr>
          <w:rFonts w:hint="eastAsia" w:ascii="宋体" w:hAnsi="宋体" w:cs="宋体"/>
          <w:smallCaps/>
          <w:sz w:val="24"/>
        </w:rPr>
        <w:t>7)</w:t>
      </w:r>
      <w:r>
        <w:rPr>
          <w:rFonts w:hint="eastAsia" w:ascii="宋体" w:hAnsi="宋体" w:cs="宋体"/>
          <w:smallCaps/>
          <w:sz w:val="24"/>
        </w:rPr>
        <w:tab/>
      </w:r>
      <w:r>
        <w:rPr>
          <w:rFonts w:hint="eastAsia" w:ascii="宋体" w:hAnsi="宋体" w:cs="宋体"/>
          <w:smallCaps/>
          <w:sz w:val="24"/>
        </w:rPr>
        <w:t>需支持工作流设置完毕后，对其进行保存和格式化，即可对其进行进一步的处理，包括运行、编辑、下线等；</w:t>
      </w:r>
    </w:p>
    <w:p>
      <w:pPr>
        <w:spacing w:line="360" w:lineRule="auto"/>
        <w:ind w:firstLine="480" w:firstLineChars="200"/>
        <w:jc w:val="left"/>
        <w:rPr>
          <w:rFonts w:ascii="宋体" w:hAnsi="宋体" w:cs="宋体"/>
          <w:smallCaps/>
          <w:sz w:val="24"/>
        </w:rPr>
      </w:pPr>
      <w:r>
        <w:rPr>
          <w:rFonts w:hint="eastAsia" w:ascii="宋体" w:hAnsi="宋体" w:cs="宋体"/>
          <w:sz w:val="24"/>
        </w:rPr>
        <w:t>▲</w:t>
      </w:r>
      <w:r>
        <w:rPr>
          <w:rFonts w:hint="eastAsia" w:ascii="宋体" w:hAnsi="宋体" w:cs="宋体"/>
          <w:smallCaps/>
          <w:sz w:val="24"/>
        </w:rPr>
        <w:t>8)</w:t>
      </w:r>
      <w:r>
        <w:rPr>
          <w:rFonts w:hint="eastAsia" w:ascii="宋体" w:hAnsi="宋体" w:cs="宋体"/>
          <w:smallCaps/>
          <w:sz w:val="24"/>
        </w:rPr>
        <w:tab/>
      </w:r>
      <w:r>
        <w:rPr>
          <w:rFonts w:hint="eastAsia" w:ascii="宋体" w:hAnsi="宋体" w:cs="宋体"/>
          <w:smallCaps/>
          <w:sz w:val="24"/>
        </w:rPr>
        <w:t>需支持对工作流进行定时设置，包括起止时间、定时、通知策略、流程优先级等（提供产品界面截图示例作为证明依据）；</w:t>
      </w:r>
    </w:p>
    <w:p>
      <w:pPr>
        <w:spacing w:line="360" w:lineRule="auto"/>
        <w:ind w:firstLine="480" w:firstLineChars="200"/>
        <w:jc w:val="left"/>
        <w:rPr>
          <w:rFonts w:ascii="宋体" w:hAnsi="宋体" w:cs="宋体"/>
          <w:smallCaps/>
          <w:sz w:val="24"/>
        </w:rPr>
      </w:pPr>
      <w:r>
        <w:rPr>
          <w:rFonts w:hint="eastAsia" w:ascii="宋体" w:hAnsi="宋体" w:cs="宋体"/>
          <w:smallCaps/>
          <w:sz w:val="24"/>
        </w:rPr>
        <w:t>9)</w:t>
      </w:r>
      <w:r>
        <w:rPr>
          <w:rFonts w:hint="eastAsia" w:ascii="宋体" w:hAnsi="宋体" w:cs="宋体"/>
          <w:smallCaps/>
          <w:sz w:val="24"/>
        </w:rPr>
        <w:tab/>
      </w:r>
      <w:r>
        <w:rPr>
          <w:rFonts w:hint="eastAsia" w:ascii="宋体" w:hAnsi="宋体" w:cs="宋体"/>
          <w:smallCaps/>
          <w:sz w:val="24"/>
        </w:rPr>
        <w:t>需支持管理人员对所有工作流进行总览，包括工作流的名称、状态、运行类型、调度时间、开始时间、结束时间、运行时长、运行次数、执行用户等；</w:t>
      </w:r>
    </w:p>
    <w:p>
      <w:pPr>
        <w:spacing w:line="360" w:lineRule="auto"/>
        <w:ind w:firstLine="480" w:firstLineChars="200"/>
        <w:jc w:val="left"/>
        <w:rPr>
          <w:rFonts w:ascii="宋体" w:hAnsi="宋体" w:cs="宋体"/>
          <w:smallCaps/>
          <w:sz w:val="24"/>
        </w:rPr>
      </w:pPr>
      <w:r>
        <w:rPr>
          <w:rFonts w:hint="eastAsia" w:ascii="宋体" w:hAnsi="宋体" w:cs="宋体"/>
          <w:smallCaps/>
          <w:sz w:val="24"/>
        </w:rPr>
        <w:t>10)</w:t>
      </w:r>
      <w:r>
        <w:rPr>
          <w:rFonts w:hint="eastAsia" w:ascii="宋体" w:hAnsi="宋体" w:cs="宋体"/>
          <w:smallCaps/>
          <w:sz w:val="24"/>
        </w:rPr>
        <w:tab/>
      </w:r>
      <w:bookmarkStart w:id="2" w:name="_Hlk209086121"/>
      <w:r>
        <w:rPr>
          <w:rFonts w:hint="eastAsia" w:ascii="宋体" w:hAnsi="宋体" w:cs="宋体"/>
          <w:smallCaps/>
          <w:sz w:val="24"/>
        </w:rPr>
        <w:t>异动处理：数据接口发生变动，源头表自动更新表结构，并保留处理记录</w:t>
      </w:r>
      <w:bookmarkEnd w:id="2"/>
      <w:bookmarkStart w:id="3" w:name="OLE_LINK10"/>
      <w:r>
        <w:rPr>
          <w:rFonts w:hint="eastAsia" w:ascii="宋体" w:hAnsi="宋体" w:cs="宋体"/>
          <w:smallCaps/>
          <w:sz w:val="24"/>
        </w:rPr>
        <w:t>（需进行功能演示）</w:t>
      </w:r>
      <w:bookmarkEnd w:id="3"/>
      <w:r>
        <w:rPr>
          <w:rFonts w:hint="eastAsia" w:ascii="宋体" w:hAnsi="宋体" w:cs="宋体"/>
          <w:smallCaps/>
          <w:sz w:val="24"/>
        </w:rPr>
        <w:t>。</w:t>
      </w:r>
    </w:p>
    <w:p>
      <w:pPr>
        <w:spacing w:line="360" w:lineRule="auto"/>
        <w:ind w:firstLine="480" w:firstLineChars="200"/>
        <w:jc w:val="left"/>
        <w:rPr>
          <w:rFonts w:ascii="宋体" w:hAnsi="宋体" w:cs="宋体"/>
          <w:smallCaps/>
          <w:sz w:val="24"/>
        </w:rPr>
      </w:pPr>
      <w:r>
        <w:rPr>
          <w:rFonts w:hint="eastAsia" w:ascii="宋体" w:hAnsi="宋体" w:cs="宋体"/>
          <w:smallCaps/>
          <w:sz w:val="24"/>
          <w:lang w:val="en-US" w:eastAsia="zh-CN"/>
        </w:rPr>
        <w:t>3.</w:t>
      </w:r>
      <w:r>
        <w:rPr>
          <w:rFonts w:hint="eastAsia" w:ascii="宋体" w:hAnsi="宋体" w:cs="宋体"/>
          <w:smallCaps/>
          <w:sz w:val="24"/>
        </w:rPr>
        <w:t>3.</w:t>
      </w:r>
      <w:r>
        <w:rPr>
          <w:rFonts w:hint="eastAsia" w:ascii="宋体" w:hAnsi="宋体" w:cs="宋体"/>
          <w:smallCaps/>
          <w:sz w:val="24"/>
        </w:rPr>
        <w:tab/>
      </w:r>
      <w:r>
        <w:rPr>
          <w:rFonts w:hint="eastAsia" w:ascii="宋体" w:hAnsi="宋体" w:cs="宋体"/>
          <w:smallCaps/>
          <w:sz w:val="24"/>
        </w:rPr>
        <w:t>数据治理</w:t>
      </w:r>
    </w:p>
    <w:p>
      <w:pPr>
        <w:spacing w:line="360" w:lineRule="auto"/>
        <w:ind w:firstLine="480" w:firstLineChars="200"/>
        <w:jc w:val="left"/>
        <w:rPr>
          <w:rFonts w:ascii="宋体" w:hAnsi="宋体" w:eastAsia="宋体" w:cs="宋体"/>
          <w:smallCaps/>
          <w:sz w:val="24"/>
        </w:rPr>
      </w:pPr>
      <w:r>
        <w:rPr>
          <w:rFonts w:hint="eastAsia" w:ascii="宋体" w:hAnsi="宋体" w:cs="宋体"/>
          <w:smallCaps/>
          <w:sz w:val="24"/>
        </w:rPr>
        <w:t>1）</w:t>
      </w:r>
      <w:bookmarkStart w:id="4" w:name="_Hlk209086145"/>
      <w:r>
        <w:rPr>
          <w:rFonts w:hint="eastAsia" w:ascii="宋体" w:hAnsi="宋体" w:cs="宋体"/>
          <w:smallCaps/>
          <w:sz w:val="24"/>
        </w:rPr>
        <w:t>根据数据处理脚本，可自动解析字段级别的血缘关系，直观呈现表和表之间的关系以及每个字段的处理步骤</w:t>
      </w:r>
      <w:bookmarkEnd w:id="4"/>
      <w:r>
        <w:rPr>
          <w:rFonts w:hint="eastAsia" w:ascii="宋体" w:hAnsi="宋体" w:cs="宋体"/>
          <w:smallCaps/>
          <w:sz w:val="24"/>
        </w:rPr>
        <w:t>（需进行功能演示）；</w:t>
      </w:r>
    </w:p>
    <w:p>
      <w:pPr>
        <w:spacing w:line="360" w:lineRule="auto"/>
        <w:ind w:firstLine="480" w:firstLineChars="200"/>
        <w:jc w:val="left"/>
        <w:rPr>
          <w:rFonts w:ascii="宋体" w:hAnsi="宋体" w:cs="宋体"/>
          <w:smallCaps/>
          <w:sz w:val="24"/>
        </w:rPr>
      </w:pPr>
      <w:r>
        <w:rPr>
          <w:rFonts w:hint="eastAsia" w:ascii="宋体" w:hAnsi="宋体" w:cs="宋体"/>
          <w:smallCaps/>
          <w:sz w:val="24"/>
        </w:rPr>
        <w:t>2)</w:t>
      </w:r>
      <w:r>
        <w:rPr>
          <w:rFonts w:hint="eastAsia" w:ascii="宋体" w:hAnsi="宋体" w:cs="宋体"/>
          <w:smallCaps/>
          <w:sz w:val="24"/>
        </w:rPr>
        <w:tab/>
      </w:r>
      <w:r>
        <w:rPr>
          <w:rFonts w:hint="eastAsia" w:ascii="宋体" w:hAnsi="宋体" w:cs="宋体"/>
          <w:smallCaps/>
          <w:sz w:val="24"/>
        </w:rPr>
        <w:t>需支持对表作业执行情况，如读写行数、总流量、平均流量等指标，以报表的方式进行汇总分析，管理员可直观地查看每次作业运行的情况；</w:t>
      </w:r>
    </w:p>
    <w:p>
      <w:pPr>
        <w:spacing w:line="360" w:lineRule="auto"/>
        <w:ind w:firstLine="480" w:firstLineChars="200"/>
        <w:jc w:val="left"/>
        <w:rPr>
          <w:rFonts w:ascii="宋体" w:hAnsi="宋体" w:cs="宋体"/>
          <w:smallCaps/>
          <w:sz w:val="24"/>
        </w:rPr>
      </w:pPr>
      <w:r>
        <w:rPr>
          <w:rFonts w:hint="eastAsia" w:ascii="宋体" w:hAnsi="宋体" w:cs="宋体"/>
          <w:smallCaps/>
          <w:sz w:val="24"/>
        </w:rPr>
        <w:t>3)</w:t>
      </w:r>
      <w:r>
        <w:rPr>
          <w:rFonts w:hint="eastAsia" w:ascii="宋体" w:hAnsi="宋体" w:cs="宋体"/>
          <w:smallCaps/>
          <w:sz w:val="24"/>
        </w:rPr>
        <w:tab/>
      </w:r>
      <w:r>
        <w:rPr>
          <w:rFonts w:hint="eastAsia" w:ascii="宋体" w:hAnsi="宋体" w:cs="宋体"/>
          <w:smallCaps/>
          <w:sz w:val="24"/>
        </w:rPr>
        <w:t>需支持在线调试、试运行数据处理脚本，可在页面预览处理结果</w:t>
      </w:r>
    </w:p>
    <w:p>
      <w:pPr>
        <w:spacing w:line="360" w:lineRule="auto"/>
        <w:ind w:firstLine="480" w:firstLineChars="200"/>
        <w:jc w:val="left"/>
        <w:rPr>
          <w:rFonts w:ascii="宋体" w:hAnsi="宋体" w:cs="宋体"/>
          <w:smallCaps/>
          <w:sz w:val="24"/>
        </w:rPr>
      </w:pPr>
      <w:r>
        <w:rPr>
          <w:rFonts w:hint="eastAsia" w:ascii="宋体" w:hAnsi="宋体" w:cs="宋体"/>
          <w:smallCaps/>
          <w:sz w:val="24"/>
        </w:rPr>
        <w:t>4)</w:t>
      </w:r>
      <w:r>
        <w:rPr>
          <w:rFonts w:hint="eastAsia" w:ascii="宋体" w:hAnsi="宋体" w:cs="宋体"/>
          <w:smallCaps/>
          <w:sz w:val="24"/>
        </w:rPr>
        <w:tab/>
      </w:r>
      <w:r>
        <w:rPr>
          <w:rFonts w:hint="eastAsia" w:ascii="宋体" w:hAnsi="宋体" w:cs="宋体"/>
          <w:smallCaps/>
          <w:sz w:val="24"/>
        </w:rPr>
        <w:t>建立完整的数据质量校验规则，需包含空值检查、字典值检查、枚举值检查、区间检查、业务关联性规则检查、规范检查（如手机号、证件号、邮箱等）、重复数据检查、及时性检查、记录缺失检查、自定义脚本检查</w:t>
      </w:r>
    </w:p>
    <w:p>
      <w:pPr>
        <w:spacing w:line="360" w:lineRule="auto"/>
        <w:ind w:firstLine="480" w:firstLineChars="200"/>
        <w:jc w:val="left"/>
        <w:rPr>
          <w:rFonts w:ascii="宋体" w:hAnsi="宋体" w:cs="宋体"/>
          <w:smallCaps/>
          <w:sz w:val="24"/>
        </w:rPr>
      </w:pPr>
      <w:r>
        <w:rPr>
          <w:rFonts w:hint="eastAsia" w:ascii="宋体" w:hAnsi="宋体" w:eastAsia="宋体" w:cs="宋体"/>
          <w:smallCaps/>
          <w:sz w:val="24"/>
        </w:rPr>
        <w:t>▲</w:t>
      </w:r>
      <w:r>
        <w:rPr>
          <w:rFonts w:hint="eastAsia" w:ascii="宋体" w:hAnsi="宋体" w:cs="宋体"/>
          <w:smallCaps/>
          <w:sz w:val="24"/>
        </w:rPr>
        <w:t>5）基于数据质量校验规则进行数据治理，生成数据质量报告（提供产品界面截图示例作为证明依据）</w:t>
      </w:r>
    </w:p>
    <w:p>
      <w:pPr>
        <w:pStyle w:val="15"/>
        <w:numPr>
          <w:ilvl w:val="0"/>
          <w:numId w:val="0"/>
        </w:numPr>
        <w:spacing w:before="156" w:beforeLines="50" w:after="156" w:afterLines="50" w:line="360" w:lineRule="auto"/>
        <w:ind w:leftChars="0"/>
        <w:outlineLvl w:val="1"/>
        <w:rPr>
          <w:rFonts w:ascii="宋体" w:cs="宋体"/>
          <w:b/>
          <w:bCs/>
          <w:sz w:val="32"/>
          <w:szCs w:val="32"/>
        </w:rPr>
      </w:pPr>
      <w:r>
        <w:rPr>
          <w:rFonts w:hint="eastAsia" w:ascii="宋体" w:cs="宋体"/>
          <w:b/>
          <w:bCs/>
          <w:sz w:val="32"/>
          <w:szCs w:val="32"/>
          <w:lang w:val="en-US" w:eastAsia="zh-CN"/>
        </w:rPr>
        <w:t>4、</w:t>
      </w:r>
      <w:r>
        <w:rPr>
          <w:rFonts w:hint="eastAsia" w:ascii="宋体" w:cs="宋体"/>
          <w:b/>
          <w:bCs/>
          <w:sz w:val="32"/>
          <w:szCs w:val="32"/>
        </w:rPr>
        <w:t>数据可视化要求</w:t>
      </w:r>
    </w:p>
    <w:p>
      <w:pPr>
        <w:spacing w:line="360" w:lineRule="auto"/>
        <w:ind w:firstLine="480" w:firstLineChars="200"/>
        <w:rPr>
          <w:rFonts w:hint="eastAsia"/>
          <w:sz w:val="24"/>
        </w:rPr>
      </w:pPr>
      <w:r>
        <w:rPr>
          <w:rFonts w:hint="eastAsia"/>
          <w:sz w:val="24"/>
        </w:rPr>
        <w:t>应提供可视化报表工具对项目中的各项分析报表进行可视化展现。该可视化报表工具应满足：</w:t>
      </w:r>
    </w:p>
    <w:p>
      <w:pPr>
        <w:spacing w:line="360" w:lineRule="auto"/>
        <w:ind w:firstLine="480" w:firstLineChars="200"/>
        <w:rPr>
          <w:sz w:val="24"/>
        </w:rPr>
      </w:pPr>
      <w:r>
        <w:rPr>
          <w:rFonts w:hint="eastAsia"/>
          <w:sz w:val="24"/>
          <w:lang w:val="en-US" w:eastAsia="zh-CN"/>
        </w:rPr>
        <w:t>4.</w:t>
      </w:r>
      <w:r>
        <w:rPr>
          <w:sz w:val="24"/>
        </w:rPr>
        <w:t>1</w:t>
      </w:r>
      <w:r>
        <w:rPr>
          <w:rFonts w:hint="eastAsia"/>
          <w:sz w:val="24"/>
        </w:rPr>
        <w:t>．需支持对目前市面上各类数据库的数据源进行采集；</w:t>
      </w:r>
    </w:p>
    <w:p>
      <w:pPr>
        <w:spacing w:line="360" w:lineRule="auto"/>
        <w:ind w:firstLine="480" w:firstLineChars="200"/>
        <w:rPr>
          <w:sz w:val="24"/>
        </w:rPr>
      </w:pPr>
      <w:r>
        <w:rPr>
          <w:rFonts w:hint="eastAsia"/>
          <w:sz w:val="24"/>
          <w:lang w:val="en-US" w:eastAsia="zh-CN"/>
        </w:rPr>
        <w:t>4.</w:t>
      </w:r>
      <w:r>
        <w:rPr>
          <w:sz w:val="24"/>
        </w:rPr>
        <w:t>2</w:t>
      </w:r>
      <w:r>
        <w:rPr>
          <w:rFonts w:hint="eastAsia"/>
          <w:sz w:val="24"/>
        </w:rPr>
        <w:t>．需支持在工具内通过编写SQL查询语句从数据源中预览数据，并采用拖动鼠标的操作方式生成数据分析模型，包括设置数据集维度、指标、表达式、过滤条件等；</w:t>
      </w:r>
    </w:p>
    <w:p>
      <w:pPr>
        <w:spacing w:line="360" w:lineRule="auto"/>
        <w:ind w:firstLine="480" w:firstLineChars="200"/>
        <w:rPr>
          <w:sz w:val="24"/>
        </w:rPr>
      </w:pPr>
      <w:r>
        <w:rPr>
          <w:rFonts w:hint="eastAsia"/>
          <w:sz w:val="24"/>
          <w:lang w:val="en-US" w:eastAsia="zh-CN"/>
        </w:rPr>
        <w:t>4.</w:t>
      </w:r>
      <w:r>
        <w:rPr>
          <w:sz w:val="24"/>
        </w:rPr>
        <w:t>3</w:t>
      </w:r>
      <w:r>
        <w:rPr>
          <w:rFonts w:hint="eastAsia"/>
          <w:sz w:val="24"/>
        </w:rPr>
        <w:t>．对接数据集模型，实现报表可视化设计，报表设计需满足不同层级的上下钻取操作，并可在界面上查看生成报表的sql统计语句。</w:t>
      </w:r>
    </w:p>
    <w:p>
      <w:pPr>
        <w:spacing w:line="360" w:lineRule="auto"/>
        <w:ind w:firstLine="480" w:firstLineChars="200"/>
        <w:rPr>
          <w:sz w:val="24"/>
        </w:rPr>
      </w:pPr>
      <w:r>
        <w:rPr>
          <w:rFonts w:hint="eastAsia"/>
          <w:sz w:val="24"/>
          <w:lang w:val="en-US" w:eastAsia="zh-CN"/>
        </w:rPr>
        <w:t>4.</w:t>
      </w:r>
      <w:r>
        <w:rPr>
          <w:sz w:val="24"/>
        </w:rPr>
        <w:t>4</w:t>
      </w:r>
      <w:r>
        <w:rPr>
          <w:rFonts w:hint="eastAsia"/>
          <w:sz w:val="24"/>
        </w:rPr>
        <w:t>.报表设计需支持多种图表类型，如柱状图、散点图、折线图、雷达图、饼图、漏斗图、极坐标堆叠图、地图、词云图等；</w:t>
      </w:r>
    </w:p>
    <w:p>
      <w:pPr>
        <w:spacing w:line="360" w:lineRule="auto"/>
        <w:ind w:firstLine="480" w:firstLineChars="200"/>
        <w:rPr>
          <w:sz w:val="24"/>
        </w:rPr>
      </w:pPr>
      <w:r>
        <w:rPr>
          <w:rFonts w:hint="eastAsia"/>
          <w:sz w:val="24"/>
          <w:lang w:val="en-US" w:eastAsia="zh-CN"/>
        </w:rPr>
        <w:t>4.</w:t>
      </w:r>
      <w:r>
        <w:rPr>
          <w:sz w:val="24"/>
        </w:rPr>
        <w:t>5</w:t>
      </w:r>
      <w:r>
        <w:rPr>
          <w:rFonts w:hint="eastAsia"/>
          <w:sz w:val="24"/>
        </w:rPr>
        <w:t>．报表设计需支持对指标的自动二次计算，包括指标格式化、指标汇总、值对比、目标值、各聚合类型计算等。</w:t>
      </w:r>
    </w:p>
    <w:p>
      <w:pPr>
        <w:spacing w:line="360" w:lineRule="auto"/>
        <w:ind w:firstLine="480" w:firstLineChars="200"/>
        <w:rPr>
          <w:sz w:val="24"/>
        </w:rPr>
      </w:pPr>
      <w:r>
        <w:rPr>
          <w:rFonts w:hint="eastAsia"/>
          <w:sz w:val="24"/>
          <w:lang w:val="en-US" w:eastAsia="zh-CN"/>
        </w:rPr>
        <w:t>4.</w:t>
      </w:r>
      <w:r>
        <w:rPr>
          <w:sz w:val="24"/>
        </w:rPr>
        <w:t>6</w:t>
      </w:r>
      <w:r>
        <w:rPr>
          <w:rFonts w:hint="eastAsia"/>
          <w:sz w:val="24"/>
        </w:rPr>
        <w:t>．支持自定义数据隔离，即以维度为最小颗粒度控制数据隔离，可根据不同的用户过滤统计的数据，如展示给不同科室用户的图表统计数据只包含该用户所在科室的数据；</w:t>
      </w:r>
    </w:p>
    <w:p>
      <w:pPr>
        <w:spacing w:line="360" w:lineRule="auto"/>
        <w:ind w:firstLine="480" w:firstLineChars="200"/>
        <w:rPr>
          <w:sz w:val="24"/>
        </w:rPr>
      </w:pPr>
      <w:r>
        <w:rPr>
          <w:rFonts w:hint="eastAsia"/>
          <w:sz w:val="24"/>
          <w:lang w:val="en-US" w:eastAsia="zh-CN"/>
        </w:rPr>
        <w:t>4.</w:t>
      </w:r>
      <w:r>
        <w:rPr>
          <w:sz w:val="24"/>
        </w:rPr>
        <w:t>7</w:t>
      </w:r>
      <w:r>
        <w:rPr>
          <w:rFonts w:hint="eastAsia"/>
          <w:sz w:val="24"/>
        </w:rPr>
        <w:t>．用户只需要拖拽操作就可以将各种类型的报表组合成固定看板，并以分享链接的方式做看板分发，支持将看板挂在不同的系统。报表需支持自定义深度的数据钻取，挖掘更深层次的数据。</w:t>
      </w:r>
    </w:p>
    <w:p>
      <w:pPr>
        <w:pStyle w:val="15"/>
        <w:numPr>
          <w:ilvl w:val="0"/>
          <w:numId w:val="0"/>
        </w:numPr>
        <w:spacing w:before="156" w:beforeLines="50" w:after="156" w:afterLines="50" w:line="360" w:lineRule="auto"/>
        <w:ind w:leftChars="0"/>
        <w:outlineLvl w:val="1"/>
        <w:rPr>
          <w:rFonts w:ascii="宋体" w:cs="宋体"/>
          <w:b/>
          <w:bCs/>
          <w:sz w:val="32"/>
          <w:szCs w:val="32"/>
        </w:rPr>
      </w:pPr>
      <w:r>
        <w:rPr>
          <w:rFonts w:hint="eastAsia" w:ascii="宋体" w:cs="宋体"/>
          <w:b/>
          <w:bCs/>
          <w:sz w:val="32"/>
          <w:szCs w:val="32"/>
          <w:lang w:val="en-US" w:eastAsia="zh-CN"/>
        </w:rPr>
        <w:t>5、</w:t>
      </w:r>
      <w:r>
        <w:rPr>
          <w:rFonts w:hint="eastAsia" w:ascii="宋体" w:cs="宋体"/>
          <w:b/>
          <w:bCs/>
          <w:sz w:val="32"/>
          <w:szCs w:val="32"/>
        </w:rPr>
        <w:t>系统对接要求</w:t>
      </w:r>
    </w:p>
    <w:p>
      <w:pPr>
        <w:pStyle w:val="15"/>
        <w:numPr>
          <w:ilvl w:val="0"/>
          <w:numId w:val="0"/>
        </w:numPr>
        <w:spacing w:before="156" w:beforeLines="50" w:after="156" w:afterLines="50" w:line="360" w:lineRule="auto"/>
        <w:ind w:leftChars="0"/>
        <w:outlineLvl w:val="2"/>
        <w:rPr>
          <w:rFonts w:hint="eastAsia"/>
          <w:sz w:val="24"/>
        </w:rPr>
      </w:pPr>
      <w:r>
        <w:rPr>
          <w:rFonts w:hint="eastAsia"/>
          <w:sz w:val="24"/>
        </w:rPr>
        <w:t>★接口配套</w:t>
      </w:r>
    </w:p>
    <w:p>
      <w:pPr>
        <w:pStyle w:val="15"/>
        <w:numPr>
          <w:ilvl w:val="0"/>
          <w:numId w:val="0"/>
        </w:numPr>
        <w:spacing w:before="156" w:beforeLines="50" w:after="156" w:afterLines="50" w:line="360" w:lineRule="auto"/>
        <w:ind w:leftChars="0" w:firstLine="480" w:firstLineChars="200"/>
        <w:outlineLvl w:val="1"/>
        <w:rPr>
          <w:rFonts w:hint="eastAsia"/>
          <w:sz w:val="24"/>
          <w:lang w:val="en-US" w:eastAsia="zh-CN"/>
        </w:rPr>
      </w:pPr>
      <w:r>
        <w:rPr>
          <w:rFonts w:hint="eastAsia"/>
          <w:sz w:val="24"/>
        </w:rPr>
        <w:t>本项目涉及到的与医院现有信息系统的接口费用应包含在该项目的整体报价中，费用与医院信息系统厂商协商，医院不再另行支付与本项目相关的接口费用。项目实施及维保期内，因国家政策或政府、医院上级部门要求导致的被动性程序修改，及时提供程序修改服务，保证系统在要求的时限内正常、稳定、准确运行。本项目支持与医院现有信息系统对接包含但不限于广东省病案管理系统、HIS、LIS、PACS、ERP、EMR、手术麻醉系统、重症监护系统、预约管理系统、自助机平台、微信支付平台等医院现有信息系统进行对接，预留开放集成平台接口。</w:t>
      </w:r>
      <w:r>
        <w:rPr>
          <w:rFonts w:hint="eastAsia"/>
          <w:sz w:val="24"/>
          <w:lang w:val="en-US" w:eastAsia="zh-CN"/>
        </w:rPr>
        <w:t xml:space="preserve"> </w:t>
      </w:r>
    </w:p>
    <w:p>
      <w:pPr>
        <w:pStyle w:val="15"/>
        <w:numPr>
          <w:ilvl w:val="0"/>
          <w:numId w:val="0"/>
        </w:numPr>
        <w:spacing w:before="156" w:beforeLines="50" w:after="156" w:afterLines="50" w:line="360" w:lineRule="auto"/>
        <w:ind w:leftChars="0"/>
        <w:outlineLvl w:val="1"/>
        <w:rPr>
          <w:rFonts w:hint="eastAsia" w:ascii="宋体" w:cs="宋体"/>
          <w:b/>
          <w:bCs/>
          <w:sz w:val="32"/>
          <w:szCs w:val="32"/>
          <w:lang w:val="en-US" w:eastAsia="zh-CN"/>
        </w:rPr>
      </w:pPr>
      <w:r>
        <w:rPr>
          <w:rFonts w:hint="eastAsia" w:ascii="宋体" w:cs="宋体"/>
          <w:b/>
          <w:bCs/>
          <w:sz w:val="32"/>
          <w:szCs w:val="32"/>
          <w:lang w:val="en-US" w:eastAsia="zh-CN"/>
        </w:rPr>
        <w:t>6、功能需求</w:t>
      </w:r>
    </w:p>
    <w:p>
      <w:pPr>
        <w:tabs>
          <w:tab w:val="left" w:pos="633"/>
        </w:tabs>
        <w:spacing w:line="360" w:lineRule="auto"/>
        <w:ind w:firstLine="480" w:firstLineChars="200"/>
        <w:rPr>
          <w:sz w:val="24"/>
        </w:rPr>
      </w:pPr>
      <w:r>
        <w:rPr>
          <w:rFonts w:hint="eastAsia"/>
          <w:sz w:val="24"/>
        </w:rPr>
        <w:t>本项目所建设的医保智能</w:t>
      </w:r>
      <w:r>
        <w:rPr>
          <w:rFonts w:hint="eastAsia"/>
          <w:sz w:val="24"/>
          <w:lang w:eastAsia="zh-CN"/>
        </w:rPr>
        <w:t>监管</w:t>
      </w:r>
      <w:r>
        <w:rPr>
          <w:rFonts w:hint="eastAsia"/>
          <w:sz w:val="24"/>
        </w:rPr>
        <w:t>管理系统功能需求明细如下：</w:t>
      </w:r>
    </w:p>
    <w:p>
      <w:pPr>
        <w:pStyle w:val="15"/>
        <w:numPr>
          <w:ilvl w:val="0"/>
          <w:numId w:val="0"/>
        </w:numPr>
        <w:spacing w:before="156" w:beforeLines="50" w:after="156" w:afterLines="50" w:line="360" w:lineRule="auto"/>
        <w:ind w:leftChars="0"/>
        <w:outlineLvl w:val="2"/>
        <w:rPr>
          <w:rFonts w:hint="eastAsia" w:cs="notosanscjksc" w:asciiTheme="minorHAnsi" w:hAnsiTheme="minorHAnsi" w:eastAsiaTheme="minorEastAsia"/>
          <w:b/>
          <w:bCs/>
          <w:kern w:val="2"/>
          <w:sz w:val="24"/>
          <w:szCs w:val="24"/>
          <w:lang w:val="en-US" w:eastAsia="zh-CN" w:bidi="ar-SA"/>
        </w:rPr>
      </w:pPr>
      <w:r>
        <w:rPr>
          <w:rFonts w:hint="eastAsia" w:cs="notosanscjksc" w:asciiTheme="minorHAnsi" w:hAnsiTheme="minorHAnsi" w:eastAsiaTheme="minorEastAsia"/>
          <w:b/>
          <w:bCs/>
          <w:kern w:val="2"/>
          <w:sz w:val="24"/>
          <w:szCs w:val="24"/>
          <w:lang w:val="en-US" w:eastAsia="zh-CN" w:bidi="ar-SA"/>
        </w:rPr>
        <w:t>6.1医保智能</w:t>
      </w:r>
      <w:r>
        <w:rPr>
          <w:rFonts w:hint="eastAsia" w:cs="notosanscjksc"/>
          <w:b/>
          <w:bCs/>
          <w:kern w:val="2"/>
          <w:sz w:val="24"/>
          <w:szCs w:val="24"/>
          <w:lang w:val="en-US" w:eastAsia="zh-CN" w:bidi="ar-SA"/>
        </w:rPr>
        <w:t>监管</w:t>
      </w:r>
    </w:p>
    <w:p>
      <w:pPr>
        <w:pStyle w:val="15"/>
        <w:numPr>
          <w:ilvl w:val="0"/>
          <w:numId w:val="0"/>
        </w:numPr>
        <w:spacing w:before="156" w:beforeLines="50" w:after="156" w:afterLines="50" w:line="360" w:lineRule="auto"/>
        <w:ind w:leftChars="0"/>
        <w:outlineLvl w:val="3"/>
        <w:rPr>
          <w:rFonts w:hint="eastAsia" w:cs="notosanscjksc" w:asciiTheme="minorHAnsi" w:hAnsiTheme="minorHAnsi" w:eastAsiaTheme="minorEastAsia"/>
          <w:b/>
          <w:bCs/>
          <w:kern w:val="2"/>
          <w:sz w:val="24"/>
          <w:szCs w:val="24"/>
          <w:lang w:val="en-US" w:eastAsia="zh-CN" w:bidi="ar-SA"/>
        </w:rPr>
      </w:pPr>
      <w:r>
        <w:rPr>
          <w:rFonts w:hint="eastAsia" w:cs="notosanscjksc"/>
          <w:b/>
          <w:bCs/>
          <w:kern w:val="2"/>
          <w:sz w:val="24"/>
          <w:szCs w:val="24"/>
          <w:lang w:val="en-US" w:eastAsia="zh-CN" w:bidi="ar-SA"/>
        </w:rPr>
        <w:t>6.1.1</w:t>
      </w:r>
      <w:r>
        <w:rPr>
          <w:rFonts w:hint="eastAsia" w:cs="notosanscjksc" w:asciiTheme="minorHAnsi" w:hAnsiTheme="minorHAnsi" w:eastAsiaTheme="minorEastAsia"/>
          <w:b/>
          <w:bCs/>
          <w:kern w:val="2"/>
          <w:sz w:val="24"/>
          <w:szCs w:val="24"/>
          <w:lang w:val="en-US" w:eastAsia="zh-CN" w:bidi="ar-SA"/>
        </w:rPr>
        <w:t>医保规则库</w:t>
      </w:r>
    </w:p>
    <w:p>
      <w:pPr>
        <w:tabs>
          <w:tab w:val="left" w:pos="633"/>
        </w:tabs>
        <w:spacing w:line="360" w:lineRule="auto"/>
        <w:ind w:firstLine="480" w:firstLineChars="200"/>
        <w:rPr>
          <w:sz w:val="24"/>
        </w:rPr>
      </w:pPr>
      <w:r>
        <w:rPr>
          <w:rFonts w:hint="eastAsia"/>
          <w:sz w:val="24"/>
        </w:rPr>
        <w:t>基于最新国家政策和临床指南等制订医保审核规则库，且支持根据政策调整或医院实际需求，自定义设置审核规则。整个审核规则覆盖医保、疾病诊断、药品、诊疗项目等各个方面，面向门诊、入院登记、住院、预出院等常见场景进行智能审核，尽量避免或减少因违规造成的医保扣罚。</w:t>
      </w:r>
    </w:p>
    <w:p>
      <w:pPr>
        <w:tabs>
          <w:tab w:val="left" w:pos="633"/>
        </w:tabs>
        <w:spacing w:line="360" w:lineRule="auto"/>
        <w:ind w:firstLine="480" w:firstLineChars="200"/>
        <w:rPr>
          <w:sz w:val="24"/>
        </w:rPr>
      </w:pPr>
      <w:r>
        <w:rPr>
          <w:rFonts w:hint="eastAsia"/>
          <w:sz w:val="24"/>
        </w:rPr>
        <w:t>在智能审核服务中，</w:t>
      </w:r>
      <w:r>
        <w:rPr>
          <w:rFonts w:hint="eastAsia"/>
          <w:sz w:val="24"/>
          <w:lang w:eastAsia="zh-CN"/>
        </w:rPr>
        <w:t>医保智能监管</w:t>
      </w:r>
      <w:r>
        <w:rPr>
          <w:rFonts w:hint="eastAsia"/>
          <w:sz w:val="24"/>
        </w:rPr>
        <w:t>规则库是基石，主要包括了药品审核知识库、疾病审核知识库等，在项目具体建设实施过程中，系统应免费根据政策的调整或医院的实际需求，提供规则新增或编辑功能，根据医院的发展同步进行更新：</w:t>
      </w:r>
    </w:p>
    <w:p>
      <w:pPr>
        <w:tabs>
          <w:tab w:val="left" w:pos="633"/>
        </w:tabs>
        <w:spacing w:line="360" w:lineRule="auto"/>
        <w:ind w:firstLine="480" w:firstLineChars="200"/>
        <w:rPr>
          <w:sz w:val="24"/>
        </w:rPr>
      </w:pPr>
      <w:r>
        <w:rPr>
          <w:rFonts w:hint="eastAsia"/>
          <w:sz w:val="24"/>
        </w:rPr>
        <w:t>1、</w:t>
      </w:r>
      <w:r>
        <w:rPr>
          <w:rFonts w:hint="eastAsia"/>
          <w:sz w:val="24"/>
        </w:rPr>
        <w:tab/>
      </w:r>
      <w:r>
        <w:rPr>
          <w:rFonts w:hint="eastAsia"/>
          <w:sz w:val="24"/>
        </w:rPr>
        <w:t>药品审核知识库内置限定适应症用药、限定性别用药、限定门诊用药、限定住院用药规则。</w:t>
      </w:r>
    </w:p>
    <w:p>
      <w:pPr>
        <w:tabs>
          <w:tab w:val="left" w:pos="633"/>
        </w:tabs>
        <w:spacing w:line="360" w:lineRule="auto"/>
        <w:ind w:firstLine="480" w:firstLineChars="200"/>
        <w:rPr>
          <w:sz w:val="24"/>
        </w:rPr>
      </w:pPr>
      <w:r>
        <w:rPr>
          <w:rFonts w:hint="eastAsia"/>
          <w:sz w:val="24"/>
        </w:rPr>
        <w:t>2、</w:t>
      </w:r>
      <w:r>
        <w:rPr>
          <w:rFonts w:hint="eastAsia"/>
          <w:sz w:val="24"/>
        </w:rPr>
        <w:tab/>
      </w:r>
      <w:r>
        <w:rPr>
          <w:rFonts w:hint="eastAsia"/>
          <w:sz w:val="24"/>
        </w:rPr>
        <w:t>疾病审核知识库内置限定生育支付疾病、限定医保支付疾病、诊断不合理（性别和年龄）规则。</w:t>
      </w:r>
    </w:p>
    <w:p>
      <w:pPr>
        <w:tabs>
          <w:tab w:val="left" w:pos="633"/>
        </w:tabs>
        <w:spacing w:line="360" w:lineRule="auto"/>
        <w:ind w:firstLine="480" w:firstLineChars="200"/>
        <w:rPr>
          <w:sz w:val="24"/>
        </w:rPr>
      </w:pPr>
      <w:r>
        <w:rPr>
          <w:rFonts w:hint="eastAsia"/>
          <w:sz w:val="24"/>
        </w:rPr>
        <w:t>3、</w:t>
      </w:r>
      <w:r>
        <w:rPr>
          <w:rFonts w:hint="eastAsia"/>
          <w:sz w:val="24"/>
        </w:rPr>
        <w:tab/>
      </w:r>
      <w:r>
        <w:rPr>
          <w:rFonts w:hint="eastAsia"/>
          <w:sz w:val="24"/>
        </w:rPr>
        <w:t>诊疗审核知识库内置重复收费、限年龄使用、限性别使用、限待遇类型支付规则。</w:t>
      </w:r>
    </w:p>
    <w:p>
      <w:pPr>
        <w:pStyle w:val="15"/>
        <w:numPr>
          <w:ilvl w:val="0"/>
          <w:numId w:val="0"/>
        </w:numPr>
        <w:spacing w:before="156" w:beforeLines="50" w:after="156" w:afterLines="50" w:line="360" w:lineRule="auto"/>
        <w:ind w:leftChars="0"/>
        <w:outlineLvl w:val="3"/>
        <w:rPr>
          <w:rFonts w:hint="eastAsia" w:cs="notosanscjksc"/>
          <w:b/>
          <w:bCs/>
          <w:kern w:val="2"/>
          <w:sz w:val="24"/>
          <w:szCs w:val="24"/>
          <w:lang w:val="en-US" w:eastAsia="zh-CN" w:bidi="ar-SA"/>
        </w:rPr>
      </w:pPr>
      <w:r>
        <w:rPr>
          <w:rFonts w:hint="eastAsia" w:cs="notosanscjksc"/>
          <w:b/>
          <w:bCs/>
          <w:kern w:val="2"/>
          <w:sz w:val="24"/>
          <w:szCs w:val="24"/>
          <w:lang w:val="en-US" w:eastAsia="zh-CN" w:bidi="ar-SA"/>
        </w:rPr>
        <w:t>6.1.2审核管理</w:t>
      </w:r>
    </w:p>
    <w:p>
      <w:pPr>
        <w:pStyle w:val="15"/>
        <w:numPr>
          <w:ilvl w:val="0"/>
          <w:numId w:val="0"/>
        </w:numPr>
        <w:spacing w:before="156" w:beforeLines="50" w:after="156" w:afterLines="50" w:line="360" w:lineRule="auto"/>
        <w:ind w:leftChars="0"/>
        <w:outlineLvl w:val="4"/>
        <w:rPr>
          <w:rFonts w:hint="eastAsia" w:cs="notosanscjksc"/>
          <w:b/>
          <w:bCs/>
          <w:kern w:val="2"/>
          <w:sz w:val="24"/>
          <w:szCs w:val="24"/>
          <w:lang w:val="en-US" w:eastAsia="zh-CN" w:bidi="ar-SA"/>
        </w:rPr>
      </w:pPr>
      <w:r>
        <w:rPr>
          <w:rFonts w:hint="eastAsia" w:cs="notosanscjksc"/>
          <w:b/>
          <w:bCs/>
          <w:kern w:val="2"/>
          <w:sz w:val="24"/>
          <w:szCs w:val="24"/>
          <w:lang w:val="en-US" w:eastAsia="zh-CN" w:bidi="ar-SA"/>
        </w:rPr>
        <w:t>6.1.2.1规则设计器</w:t>
      </w:r>
    </w:p>
    <w:p>
      <w:pPr>
        <w:snapToGrid w:val="0"/>
        <w:spacing w:line="360" w:lineRule="auto"/>
        <w:ind w:firstLine="480" w:firstLineChars="200"/>
        <w:rPr>
          <w:sz w:val="24"/>
        </w:rPr>
      </w:pPr>
      <w:r>
        <w:rPr>
          <w:rFonts w:hint="eastAsia"/>
          <w:sz w:val="24"/>
        </w:rPr>
        <w:t>随着医保改革深入，医保审核规则势必不端调整和完善，为此，本系统提供规则设计器，以可视化设计工具，通过简单的点击、拖曳操作，即可快速完成新规则的添加或调整，且设计员无需具有计算机基础，对临床医师或管理人员友好。该规则设计器应满足：</w:t>
      </w:r>
    </w:p>
    <w:p>
      <w:pPr>
        <w:snapToGrid w:val="0"/>
        <w:spacing w:line="360" w:lineRule="auto"/>
        <w:ind w:firstLine="480" w:firstLineChars="200"/>
        <w:rPr>
          <w:sz w:val="24"/>
        </w:rPr>
      </w:pPr>
      <w:r>
        <w:rPr>
          <w:rFonts w:hint="eastAsia"/>
          <w:sz w:val="24"/>
        </w:rPr>
        <w:t>1、</w:t>
      </w:r>
      <w:bookmarkStart w:id="5" w:name="_Hlk209087003"/>
      <w:r>
        <w:rPr>
          <w:rFonts w:hint="eastAsia"/>
          <w:sz w:val="24"/>
        </w:rPr>
        <w:t>具有完整的规则设计因素：利用该设计器，设计人员可快速设置规则的名称、规则依据、规则内容、适用场景、预警信息等</w:t>
      </w:r>
      <w:bookmarkEnd w:id="5"/>
      <w:r>
        <w:rPr>
          <w:rFonts w:hint="eastAsia"/>
          <w:sz w:val="24"/>
        </w:rPr>
        <w:t>（要求进行功能演示）；</w:t>
      </w:r>
    </w:p>
    <w:p>
      <w:pPr>
        <w:snapToGrid w:val="0"/>
        <w:spacing w:line="360" w:lineRule="auto"/>
        <w:ind w:firstLine="480" w:firstLineChars="200"/>
        <w:rPr>
          <w:sz w:val="24"/>
        </w:rPr>
      </w:pPr>
      <w:r>
        <w:rPr>
          <w:rFonts w:hint="eastAsia"/>
          <w:sz w:val="24"/>
        </w:rPr>
        <w:t>2.逻辑流程清晰：利用该设计器，设计人员可快速配置规则的流程走向、约束条件、审核方式、违规处理方法；</w:t>
      </w:r>
    </w:p>
    <w:p>
      <w:pPr>
        <w:snapToGrid w:val="0"/>
        <w:spacing w:line="360" w:lineRule="auto"/>
        <w:ind w:firstLine="480" w:firstLineChars="200"/>
        <w:rPr>
          <w:sz w:val="24"/>
        </w:rPr>
      </w:pPr>
      <w:r>
        <w:rPr>
          <w:rFonts w:hint="eastAsia"/>
          <w:sz w:val="24"/>
        </w:rPr>
        <w:t>3、操作简洁易上手：整个设计过程只需要设计人员通过点击选择、拖曳、简单文字输入等操作即可完成整个规则的设计；</w:t>
      </w:r>
    </w:p>
    <w:p>
      <w:pPr>
        <w:snapToGrid w:val="0"/>
        <w:spacing w:line="360" w:lineRule="auto"/>
        <w:ind w:firstLine="480" w:firstLineChars="200"/>
      </w:pPr>
      <w:r>
        <w:rPr>
          <w:rFonts w:hint="eastAsia"/>
          <w:sz w:val="24"/>
        </w:rPr>
        <w:t>4、模块快速组装出复杂规则：通过多模块组装，即多项简单规则的快速组装合并即可实现复杂规则的完成，符合日常思维习性。</w:t>
      </w:r>
    </w:p>
    <w:p>
      <w:pPr>
        <w:pStyle w:val="15"/>
        <w:numPr>
          <w:ilvl w:val="0"/>
          <w:numId w:val="0"/>
        </w:numPr>
        <w:spacing w:before="156" w:beforeLines="50" w:after="156" w:afterLines="50" w:line="360" w:lineRule="auto"/>
        <w:ind w:leftChars="0"/>
        <w:outlineLvl w:val="4"/>
        <w:rPr>
          <w:rFonts w:hint="eastAsia" w:cs="notosanscjksc"/>
          <w:b/>
          <w:bCs/>
          <w:kern w:val="2"/>
          <w:sz w:val="24"/>
          <w:szCs w:val="24"/>
          <w:lang w:val="en-US" w:eastAsia="zh-CN" w:bidi="ar-SA"/>
        </w:rPr>
      </w:pPr>
      <w:r>
        <w:rPr>
          <w:rFonts w:hint="eastAsia" w:cs="notosanscjksc"/>
          <w:b/>
          <w:bCs/>
          <w:kern w:val="2"/>
          <w:sz w:val="24"/>
          <w:szCs w:val="24"/>
          <w:lang w:val="en-US" w:eastAsia="zh-CN" w:bidi="ar-SA"/>
        </w:rPr>
        <w:t>6.1.2.2审核规则管理</w:t>
      </w:r>
    </w:p>
    <w:p>
      <w:pPr>
        <w:tabs>
          <w:tab w:val="left" w:pos="633"/>
        </w:tabs>
        <w:spacing w:line="360" w:lineRule="auto"/>
        <w:ind w:firstLine="480" w:firstLineChars="200"/>
        <w:rPr>
          <w:sz w:val="24"/>
        </w:rPr>
      </w:pPr>
      <w:r>
        <w:rPr>
          <w:rFonts w:hint="eastAsia"/>
          <w:sz w:val="24"/>
        </w:rPr>
        <w:t>对系统中的所有医保物价智能审核规则进行统一管理，规则按照药品、疾病、医保、项目进行分门别类管理，具体管理应满足：</w:t>
      </w:r>
    </w:p>
    <w:p>
      <w:pPr>
        <w:tabs>
          <w:tab w:val="left" w:pos="633"/>
        </w:tabs>
        <w:spacing w:line="360" w:lineRule="auto"/>
        <w:ind w:firstLine="480" w:firstLineChars="200"/>
        <w:rPr>
          <w:sz w:val="24"/>
        </w:rPr>
      </w:pPr>
      <w:r>
        <w:rPr>
          <w:rFonts w:hint="eastAsia"/>
          <w:sz w:val="24"/>
        </w:rPr>
        <w:t>1、规则展示与查询：将规则库中所有对应类型的规则进行统一展示，工作人员可通过灵活设置约束条件，快速查询想了解的规则信息并查看详情；</w:t>
      </w:r>
    </w:p>
    <w:p>
      <w:pPr>
        <w:tabs>
          <w:tab w:val="left" w:pos="633"/>
        </w:tabs>
        <w:spacing w:line="360" w:lineRule="auto"/>
        <w:ind w:firstLine="480" w:firstLineChars="200"/>
        <w:rPr>
          <w:sz w:val="24"/>
        </w:rPr>
      </w:pPr>
      <w:r>
        <w:rPr>
          <w:rFonts w:hint="eastAsia"/>
          <w:sz w:val="24"/>
        </w:rPr>
        <w:t>2、规则克隆：通过直接克隆现有规则即可快速生成规则模板，并在此基础上对规则进行调整后生成新的规则，此功能适合基于现有规则进行微调后快速生成新规则；</w:t>
      </w:r>
    </w:p>
    <w:p>
      <w:pPr>
        <w:tabs>
          <w:tab w:val="left" w:pos="633"/>
        </w:tabs>
        <w:spacing w:line="360" w:lineRule="auto"/>
        <w:ind w:firstLine="480" w:firstLineChars="200"/>
        <w:rPr>
          <w:sz w:val="24"/>
        </w:rPr>
      </w:pPr>
      <w:r>
        <w:rPr>
          <w:rFonts w:hint="eastAsia"/>
          <w:sz w:val="24"/>
        </w:rPr>
        <w:t>3、规则编辑：当政策发生变动后，可直接对现有规则进行编辑，使规则响应最新政策；</w:t>
      </w:r>
    </w:p>
    <w:p>
      <w:pPr>
        <w:tabs>
          <w:tab w:val="left" w:pos="633"/>
        </w:tabs>
        <w:spacing w:line="360" w:lineRule="auto"/>
        <w:ind w:firstLine="480" w:firstLineChars="200"/>
        <w:rPr>
          <w:sz w:val="24"/>
        </w:rPr>
      </w:pPr>
      <w:r>
        <w:rPr>
          <w:rFonts w:hint="eastAsia" w:ascii="宋体" w:hAnsi="宋体" w:eastAsia="宋体"/>
          <w:sz w:val="24"/>
        </w:rPr>
        <w:t>▲</w:t>
      </w:r>
      <w:r>
        <w:rPr>
          <w:rFonts w:hint="eastAsia"/>
          <w:sz w:val="24"/>
        </w:rPr>
        <w:t>4、规则级别设置：根据规则对医院业务的影响程度设置对应的级别，如提示、警告、禁止等，方便医师和管理层根据不同级别采取对应的措施</w:t>
      </w:r>
      <w:r>
        <w:rPr>
          <w:rFonts w:hint="eastAsia" w:ascii="宋体" w:hAnsi="宋体" w:cs="宋体"/>
          <w:smallCaps/>
          <w:sz w:val="24"/>
        </w:rPr>
        <w:t>（提供产品界面截图示例作为证明依据）</w:t>
      </w:r>
      <w:r>
        <w:rPr>
          <w:rFonts w:hint="eastAsia"/>
          <w:sz w:val="24"/>
        </w:rPr>
        <w:t>。</w:t>
      </w:r>
    </w:p>
    <w:p>
      <w:pPr>
        <w:pStyle w:val="15"/>
        <w:numPr>
          <w:ilvl w:val="0"/>
          <w:numId w:val="0"/>
        </w:numPr>
        <w:spacing w:before="156" w:beforeLines="50" w:after="156" w:afterLines="50" w:line="360" w:lineRule="auto"/>
        <w:ind w:leftChars="0"/>
        <w:outlineLvl w:val="4"/>
        <w:rPr>
          <w:rFonts w:hint="eastAsia" w:cs="notosanscjksc"/>
          <w:b/>
          <w:bCs/>
          <w:kern w:val="2"/>
          <w:sz w:val="24"/>
          <w:szCs w:val="24"/>
          <w:lang w:val="en-US" w:eastAsia="zh-CN" w:bidi="ar-SA"/>
        </w:rPr>
      </w:pPr>
      <w:r>
        <w:rPr>
          <w:rFonts w:hint="eastAsia" w:cs="notosanscjksc"/>
          <w:b/>
          <w:bCs/>
          <w:kern w:val="2"/>
          <w:sz w:val="24"/>
          <w:szCs w:val="24"/>
          <w:lang w:val="en-US" w:eastAsia="zh-CN" w:bidi="ar-SA"/>
        </w:rPr>
        <w:t>6.1.2.3频次项目配置</w:t>
      </w:r>
    </w:p>
    <w:p>
      <w:pPr>
        <w:tabs>
          <w:tab w:val="left" w:pos="633"/>
        </w:tabs>
        <w:spacing w:line="360" w:lineRule="auto"/>
        <w:ind w:firstLine="480" w:firstLineChars="200"/>
        <w:rPr>
          <w:sz w:val="24"/>
        </w:rPr>
      </w:pPr>
      <w:r>
        <w:rPr>
          <w:rFonts w:hint="eastAsia"/>
          <w:sz w:val="24"/>
        </w:rPr>
        <w:t>针对医保政策中对医疗服务项目按执行次数设定价格或报销限制的规则，配套频次项目设置服务，包括审核类型、诊断编码、项目名称、计价单位和天数转换比等，系统应内置了当地医保政策的默认频次项目内容，同时也支持设计人员根据实际需求进行自定义设置并在生成后即刻生效投入使用。</w:t>
      </w:r>
    </w:p>
    <w:p>
      <w:pPr>
        <w:pStyle w:val="15"/>
        <w:numPr>
          <w:ilvl w:val="0"/>
          <w:numId w:val="0"/>
        </w:numPr>
        <w:spacing w:before="156" w:beforeLines="50" w:after="156" w:afterLines="50" w:line="360" w:lineRule="auto"/>
        <w:ind w:leftChars="0"/>
        <w:outlineLvl w:val="4"/>
        <w:rPr>
          <w:rFonts w:hint="eastAsia" w:cs="notosanscjksc"/>
          <w:b/>
          <w:bCs/>
          <w:kern w:val="2"/>
          <w:sz w:val="24"/>
          <w:szCs w:val="24"/>
          <w:lang w:val="en-US" w:eastAsia="zh-CN" w:bidi="ar-SA"/>
        </w:rPr>
      </w:pPr>
      <w:r>
        <w:rPr>
          <w:rFonts w:hint="eastAsia" w:cs="notosanscjksc"/>
          <w:b/>
          <w:bCs/>
          <w:kern w:val="2"/>
          <w:sz w:val="24"/>
          <w:szCs w:val="24"/>
          <w:lang w:val="en-US" w:eastAsia="zh-CN" w:bidi="ar-SA"/>
        </w:rPr>
        <w:t>6.1.2.4审核信息管理</w:t>
      </w:r>
    </w:p>
    <w:p>
      <w:pPr>
        <w:tabs>
          <w:tab w:val="left" w:pos="633"/>
        </w:tabs>
        <w:spacing w:line="360" w:lineRule="auto"/>
        <w:ind w:firstLine="480" w:firstLineChars="200"/>
        <w:rPr>
          <w:sz w:val="24"/>
        </w:rPr>
      </w:pPr>
      <w:r>
        <w:rPr>
          <w:rFonts w:hint="eastAsia"/>
          <w:sz w:val="24"/>
        </w:rPr>
        <w:t>对</w:t>
      </w:r>
      <w:r>
        <w:rPr>
          <w:rFonts w:hint="eastAsia"/>
          <w:sz w:val="24"/>
          <w:lang w:eastAsia="zh-CN"/>
        </w:rPr>
        <w:t>医保智能监管</w:t>
      </w:r>
      <w:r>
        <w:rPr>
          <w:rFonts w:hint="eastAsia"/>
          <w:sz w:val="24"/>
        </w:rPr>
        <w:t>规则库在各个应用场景下的启动级别进行统一设置和管理，包括规则关联对应的科室、规则适应的审核场景等；</w:t>
      </w:r>
    </w:p>
    <w:p>
      <w:pPr>
        <w:tabs>
          <w:tab w:val="left" w:pos="633"/>
        </w:tabs>
        <w:spacing w:line="360" w:lineRule="auto"/>
        <w:ind w:firstLine="480" w:firstLineChars="200"/>
        <w:rPr>
          <w:sz w:val="24"/>
        </w:rPr>
      </w:pPr>
      <w:r>
        <w:rPr>
          <w:rFonts w:hint="eastAsia" w:asciiTheme="minorEastAsia" w:hAnsiTheme="minorEastAsia"/>
          <w:sz w:val="24"/>
        </w:rPr>
        <w:t>▲</w:t>
      </w:r>
      <w:r>
        <w:rPr>
          <w:rFonts w:hint="eastAsia"/>
          <w:sz w:val="24"/>
        </w:rPr>
        <w:t>针对特别规则，工作人员可直接配置指定科室进行豁免审核</w:t>
      </w:r>
      <w:bookmarkStart w:id="6" w:name="OLE_LINK13"/>
      <w:r>
        <w:rPr>
          <w:rFonts w:hint="eastAsia" w:ascii="宋体" w:hAnsi="宋体" w:cs="宋体"/>
          <w:smallCaps/>
          <w:sz w:val="24"/>
        </w:rPr>
        <w:t>（提供产品界面截图示例作为证明依据）</w:t>
      </w:r>
      <w:bookmarkEnd w:id="6"/>
      <w:r>
        <w:rPr>
          <w:rFonts w:hint="eastAsia"/>
          <w:sz w:val="24"/>
        </w:rPr>
        <w:t>。</w:t>
      </w:r>
    </w:p>
    <w:p>
      <w:pPr>
        <w:tabs>
          <w:tab w:val="left" w:pos="633"/>
        </w:tabs>
        <w:spacing w:line="360" w:lineRule="auto"/>
        <w:ind w:firstLine="480" w:firstLineChars="200"/>
        <w:rPr>
          <w:sz w:val="24"/>
        </w:rPr>
      </w:pPr>
      <w:r>
        <w:rPr>
          <w:rFonts w:hint="eastAsia"/>
          <w:sz w:val="24"/>
        </w:rPr>
        <w:t>在临床医师收到系统提示预警后，系统应根据触发规则设置的填写使用原因必要性，选择是否再次提醒医师进行原因填写。即若某项规则设置为必须填写使用原因，而临床医师选择忽略该触发预警信息且没有填写原因时，系统将阻止临床医师进一步操作。</w:t>
      </w:r>
    </w:p>
    <w:p>
      <w:pPr>
        <w:pStyle w:val="15"/>
        <w:numPr>
          <w:ilvl w:val="0"/>
          <w:numId w:val="0"/>
        </w:numPr>
        <w:spacing w:before="156" w:beforeLines="50" w:after="156" w:afterLines="50" w:line="360" w:lineRule="auto"/>
        <w:ind w:leftChars="0"/>
        <w:outlineLvl w:val="3"/>
        <w:rPr>
          <w:rFonts w:hint="eastAsia" w:cs="notosanscjksc"/>
          <w:b/>
          <w:bCs/>
          <w:kern w:val="2"/>
          <w:sz w:val="24"/>
          <w:szCs w:val="24"/>
          <w:lang w:val="en-US" w:eastAsia="zh-CN" w:bidi="ar-SA"/>
        </w:rPr>
      </w:pPr>
      <w:r>
        <w:rPr>
          <w:rFonts w:hint="eastAsia" w:cs="notosanscjksc"/>
          <w:b/>
          <w:bCs/>
          <w:kern w:val="2"/>
          <w:sz w:val="24"/>
          <w:szCs w:val="24"/>
          <w:lang w:val="en-US" w:eastAsia="zh-CN" w:bidi="ar-SA"/>
        </w:rPr>
        <w:t>6.1.3事前实时审核与监控</w:t>
      </w:r>
    </w:p>
    <w:p>
      <w:pPr>
        <w:pStyle w:val="15"/>
        <w:numPr>
          <w:ilvl w:val="0"/>
          <w:numId w:val="0"/>
        </w:numPr>
        <w:spacing w:before="156" w:beforeLines="50" w:after="156" w:afterLines="50" w:line="360" w:lineRule="auto"/>
        <w:ind w:leftChars="0"/>
        <w:outlineLvl w:val="4"/>
        <w:rPr>
          <w:rFonts w:hint="eastAsia" w:cs="notosanscjksc"/>
          <w:b/>
          <w:bCs/>
          <w:kern w:val="2"/>
          <w:sz w:val="24"/>
          <w:szCs w:val="24"/>
          <w:lang w:val="en-US" w:eastAsia="zh-CN" w:bidi="ar-SA"/>
        </w:rPr>
      </w:pPr>
      <w:r>
        <w:rPr>
          <w:rFonts w:hint="eastAsia" w:cs="notosanscjksc"/>
          <w:b/>
          <w:bCs/>
          <w:kern w:val="2"/>
          <w:sz w:val="24"/>
          <w:szCs w:val="24"/>
          <w:lang w:val="en-US" w:eastAsia="zh-CN" w:bidi="ar-SA"/>
        </w:rPr>
        <w:t>6.1.3.1门诊处方审核</w:t>
      </w:r>
    </w:p>
    <w:p>
      <w:pPr>
        <w:tabs>
          <w:tab w:val="left" w:pos="633"/>
        </w:tabs>
        <w:spacing w:line="360" w:lineRule="auto"/>
        <w:ind w:firstLine="480" w:firstLineChars="200"/>
        <w:rPr>
          <w:sz w:val="24"/>
        </w:rPr>
      </w:pPr>
      <w:r>
        <w:rPr>
          <w:rFonts w:hint="eastAsia"/>
          <w:sz w:val="24"/>
        </w:rPr>
        <w:t>当临床医师在接诊门诊患者时，系统应开展对患者门诊处方信息的实时审核，若发现可疑违规行为，系统将直接触发预警，面向临床医师提供违规说明、修改建议和规则依据，并根据触发规则的影响程度设置不同的颜色予以醒目提醒。</w:t>
      </w:r>
    </w:p>
    <w:p>
      <w:pPr>
        <w:tabs>
          <w:tab w:val="left" w:pos="633"/>
        </w:tabs>
        <w:spacing w:line="360" w:lineRule="auto"/>
        <w:ind w:firstLine="480" w:firstLineChars="200"/>
        <w:rPr>
          <w:sz w:val="24"/>
        </w:rPr>
      </w:pPr>
      <w:r>
        <w:rPr>
          <w:rFonts w:hint="eastAsia"/>
          <w:sz w:val="24"/>
        </w:rPr>
        <w:t>对于可豁免的科室则予以放行，对于要求必须填写使用原因的规则，临床医师则必须在填写相关的原因后才可继续进行下一步操作。</w:t>
      </w:r>
    </w:p>
    <w:p>
      <w:pPr>
        <w:pStyle w:val="15"/>
        <w:numPr>
          <w:ilvl w:val="0"/>
          <w:numId w:val="0"/>
        </w:numPr>
        <w:spacing w:before="156" w:beforeLines="50" w:after="156" w:afterLines="50" w:line="360" w:lineRule="auto"/>
        <w:ind w:leftChars="0"/>
        <w:outlineLvl w:val="4"/>
        <w:rPr>
          <w:rFonts w:hint="eastAsia" w:cs="notosanscjksc"/>
          <w:b/>
          <w:bCs/>
          <w:kern w:val="2"/>
          <w:sz w:val="24"/>
          <w:szCs w:val="24"/>
          <w:lang w:val="en-US" w:eastAsia="zh-CN" w:bidi="ar-SA"/>
        </w:rPr>
      </w:pPr>
      <w:r>
        <w:rPr>
          <w:rFonts w:hint="eastAsia" w:cs="notosanscjksc"/>
          <w:b/>
          <w:bCs/>
          <w:kern w:val="2"/>
          <w:sz w:val="24"/>
          <w:szCs w:val="24"/>
          <w:lang w:val="en-US" w:eastAsia="zh-CN" w:bidi="ar-SA"/>
        </w:rPr>
        <w:t>6.1.3.2住院医嘱审核</w:t>
      </w:r>
    </w:p>
    <w:p>
      <w:pPr>
        <w:tabs>
          <w:tab w:val="left" w:pos="633"/>
        </w:tabs>
        <w:spacing w:line="360" w:lineRule="auto"/>
        <w:ind w:firstLine="480" w:firstLineChars="200"/>
        <w:rPr>
          <w:sz w:val="24"/>
        </w:rPr>
      </w:pPr>
      <w:r>
        <w:rPr>
          <w:rFonts w:hint="eastAsia"/>
          <w:sz w:val="24"/>
        </w:rPr>
        <w:t>当临床医师在面向住院患者开具医嘱时，系统应开展对患者住院医嘱信息的实时审核，若发现可疑违规行为行为，系统将直接触发预警，面向临床医师提供违规说明、修改建议和规则依据，并根据触发规则的影响程度设置不同的颜色予以醒目提醒。</w:t>
      </w:r>
    </w:p>
    <w:p>
      <w:pPr>
        <w:tabs>
          <w:tab w:val="left" w:pos="633"/>
        </w:tabs>
        <w:spacing w:line="360" w:lineRule="auto"/>
        <w:ind w:firstLine="480" w:firstLineChars="200"/>
        <w:rPr>
          <w:sz w:val="24"/>
        </w:rPr>
      </w:pPr>
      <w:r>
        <w:rPr>
          <w:rFonts w:hint="eastAsia"/>
          <w:sz w:val="24"/>
        </w:rPr>
        <w:t>对于可豁免的科室则予以放行，对于要求必须填写使用原因的规则，则临床医师必须在填写相关的原因后才可继续进行下一步操作。</w:t>
      </w:r>
    </w:p>
    <w:p>
      <w:pPr>
        <w:pStyle w:val="15"/>
        <w:numPr>
          <w:ilvl w:val="0"/>
          <w:numId w:val="0"/>
        </w:numPr>
        <w:spacing w:before="156" w:beforeLines="50" w:after="156" w:afterLines="50" w:line="360" w:lineRule="auto"/>
        <w:ind w:leftChars="0"/>
        <w:outlineLvl w:val="3"/>
        <w:rPr>
          <w:rFonts w:hint="eastAsia" w:cs="notosanscjksc"/>
          <w:b/>
          <w:bCs/>
          <w:kern w:val="2"/>
          <w:sz w:val="24"/>
          <w:szCs w:val="24"/>
          <w:lang w:val="en-US" w:eastAsia="zh-CN" w:bidi="ar-SA"/>
        </w:rPr>
      </w:pPr>
      <w:r>
        <w:rPr>
          <w:rFonts w:hint="eastAsia" w:cs="notosanscjksc"/>
          <w:b/>
          <w:bCs/>
          <w:kern w:val="2"/>
          <w:sz w:val="24"/>
          <w:szCs w:val="24"/>
          <w:lang w:val="en-US" w:eastAsia="zh-CN" w:bidi="ar-SA"/>
        </w:rPr>
        <w:t>6.1.4事中实时审核与监控</w:t>
      </w:r>
    </w:p>
    <w:p>
      <w:pPr>
        <w:pStyle w:val="15"/>
        <w:numPr>
          <w:ilvl w:val="0"/>
          <w:numId w:val="0"/>
        </w:numPr>
        <w:spacing w:before="156" w:beforeLines="50" w:after="156" w:afterLines="50" w:line="360" w:lineRule="auto"/>
        <w:ind w:leftChars="0"/>
        <w:outlineLvl w:val="4"/>
        <w:rPr>
          <w:rFonts w:hint="eastAsia" w:cs="notosanscjksc"/>
          <w:b/>
          <w:bCs/>
          <w:kern w:val="2"/>
          <w:sz w:val="24"/>
          <w:szCs w:val="24"/>
          <w:lang w:val="en-US" w:eastAsia="zh-CN" w:bidi="ar-SA"/>
        </w:rPr>
      </w:pPr>
      <w:r>
        <w:rPr>
          <w:rFonts w:hint="eastAsia" w:cs="notosanscjksc"/>
          <w:b/>
          <w:bCs/>
          <w:kern w:val="2"/>
          <w:sz w:val="24"/>
          <w:szCs w:val="24"/>
          <w:lang w:val="en-US" w:eastAsia="zh-CN" w:bidi="ar-SA"/>
        </w:rPr>
        <w:t>6.1.4.1预出院费用审核</w:t>
      </w:r>
    </w:p>
    <w:p>
      <w:pPr>
        <w:tabs>
          <w:tab w:val="left" w:pos="633"/>
        </w:tabs>
        <w:spacing w:line="360" w:lineRule="auto"/>
        <w:ind w:firstLine="480" w:firstLineChars="200"/>
        <w:rPr>
          <w:sz w:val="24"/>
        </w:rPr>
      </w:pPr>
      <w:r>
        <w:rPr>
          <w:rFonts w:hint="eastAsia"/>
          <w:sz w:val="24"/>
        </w:rPr>
        <w:t>1、预出院实时智能审核：当医师或护士在为预出院患者办理出院手续时，系统综合该患者在诊疗期间的所有医嘱处方信息和收费信息，开展全面的实时审核服务，对可能存在的可疑违规行为，系统进行实时提示、预警和拦截，提供违规说明、修改建议和规则依据，提醒医务人员对可疑风险应调尽调，降低医保违规行为发生风险。</w:t>
      </w:r>
    </w:p>
    <w:p>
      <w:pPr>
        <w:tabs>
          <w:tab w:val="left" w:pos="633"/>
        </w:tabs>
        <w:spacing w:line="360" w:lineRule="auto"/>
        <w:ind w:firstLine="480" w:firstLineChars="200"/>
        <w:rPr>
          <w:sz w:val="24"/>
        </w:rPr>
      </w:pPr>
      <w:r>
        <w:rPr>
          <w:rFonts w:hint="eastAsia"/>
          <w:sz w:val="24"/>
        </w:rPr>
        <w:t>2.在院患者的智能审核：对于在院患者，系统每天自动更新在院患者的诊疗费用信息，并进行智能审核，将审核预警的在院患者诊疗信息展示给工作人员。</w:t>
      </w:r>
    </w:p>
    <w:p>
      <w:pPr>
        <w:tabs>
          <w:tab w:val="left" w:pos="633"/>
        </w:tabs>
        <w:spacing w:line="360" w:lineRule="auto"/>
        <w:ind w:firstLine="480" w:firstLineChars="200"/>
        <w:rPr>
          <w:sz w:val="24"/>
        </w:rPr>
      </w:pPr>
      <w:r>
        <w:rPr>
          <w:rFonts w:hint="eastAsia"/>
          <w:sz w:val="24"/>
        </w:rPr>
        <w:t>3.事中监控：系统自动将所有审核预警信息进行集成，整理成统一的表格供医保科进行查阅，辅助医保科对临床违规行为的统一监控，医保科可直接查阅违规记录以及对应的收费明细。</w:t>
      </w:r>
    </w:p>
    <w:p>
      <w:pPr>
        <w:pStyle w:val="15"/>
        <w:numPr>
          <w:ilvl w:val="0"/>
          <w:numId w:val="0"/>
        </w:numPr>
        <w:spacing w:before="156" w:beforeLines="50" w:after="156" w:afterLines="50" w:line="360" w:lineRule="auto"/>
        <w:ind w:leftChars="0"/>
        <w:outlineLvl w:val="3"/>
        <w:rPr>
          <w:rFonts w:hint="eastAsia" w:cs="notosanscjksc"/>
          <w:b/>
          <w:bCs/>
          <w:kern w:val="2"/>
          <w:sz w:val="24"/>
          <w:szCs w:val="24"/>
          <w:lang w:val="en-US" w:eastAsia="zh-CN" w:bidi="ar-SA"/>
        </w:rPr>
      </w:pPr>
      <w:r>
        <w:rPr>
          <w:rFonts w:hint="eastAsia" w:cs="notosanscjksc"/>
          <w:b/>
          <w:bCs/>
          <w:kern w:val="2"/>
          <w:sz w:val="24"/>
          <w:szCs w:val="24"/>
          <w:lang w:val="en-US" w:eastAsia="zh-CN" w:bidi="ar-SA"/>
        </w:rPr>
        <w:t>6.1.5事后违规审核</w:t>
      </w:r>
    </w:p>
    <w:p>
      <w:pPr>
        <w:pStyle w:val="15"/>
        <w:numPr>
          <w:ilvl w:val="0"/>
          <w:numId w:val="0"/>
        </w:numPr>
        <w:spacing w:before="156" w:beforeLines="50" w:after="156" w:afterLines="50" w:line="360" w:lineRule="auto"/>
        <w:ind w:leftChars="0"/>
        <w:outlineLvl w:val="4"/>
        <w:rPr>
          <w:rFonts w:hint="eastAsia" w:cs="notosanscjksc"/>
          <w:b/>
          <w:bCs/>
          <w:kern w:val="2"/>
          <w:sz w:val="24"/>
          <w:szCs w:val="24"/>
          <w:lang w:val="en-US" w:eastAsia="zh-CN" w:bidi="ar-SA"/>
        </w:rPr>
      </w:pPr>
      <w:r>
        <w:rPr>
          <w:rFonts w:hint="eastAsia" w:cs="notosanscjksc"/>
          <w:b/>
          <w:bCs/>
          <w:kern w:val="2"/>
          <w:sz w:val="24"/>
          <w:szCs w:val="24"/>
          <w:lang w:val="en-US" w:eastAsia="zh-CN" w:bidi="ar-SA"/>
        </w:rPr>
        <w:t>6.1.5.1门诊费用审核</w:t>
      </w:r>
    </w:p>
    <w:p>
      <w:pPr>
        <w:spacing w:line="360" w:lineRule="auto"/>
        <w:ind w:firstLine="484" w:firstLineChars="202"/>
        <w:jc w:val="left"/>
        <w:rPr>
          <w:sz w:val="24"/>
          <w:szCs w:val="32"/>
        </w:rPr>
      </w:pPr>
      <w:r>
        <w:rPr>
          <w:rFonts w:hint="eastAsia"/>
          <w:sz w:val="24"/>
          <w:szCs w:val="32"/>
        </w:rPr>
        <w:t>每天自动收集整理门诊患者的诊疗费用信息，利用智能审核规则引擎对其进行事后审核，开展事后回顾性分析，检验是否存在可疑违规行为。</w:t>
      </w:r>
    </w:p>
    <w:p>
      <w:pPr>
        <w:pStyle w:val="15"/>
        <w:numPr>
          <w:ilvl w:val="0"/>
          <w:numId w:val="0"/>
        </w:numPr>
        <w:spacing w:before="156" w:beforeLines="50" w:after="156" w:afterLines="50" w:line="360" w:lineRule="auto"/>
        <w:ind w:leftChars="0"/>
        <w:outlineLvl w:val="4"/>
        <w:rPr>
          <w:rFonts w:hint="eastAsia" w:cs="notosanscjksc"/>
          <w:b/>
          <w:bCs/>
          <w:kern w:val="2"/>
          <w:sz w:val="24"/>
          <w:szCs w:val="24"/>
          <w:lang w:val="en-US" w:eastAsia="zh-CN" w:bidi="ar-SA"/>
        </w:rPr>
      </w:pPr>
      <w:r>
        <w:rPr>
          <w:rFonts w:hint="eastAsia" w:cs="notosanscjksc"/>
          <w:b/>
          <w:bCs/>
          <w:kern w:val="2"/>
          <w:sz w:val="24"/>
          <w:szCs w:val="24"/>
          <w:lang w:val="en-US" w:eastAsia="zh-CN" w:bidi="ar-SA"/>
        </w:rPr>
        <w:t>6.1.5.2门诊审核结果</w:t>
      </w:r>
    </w:p>
    <w:p>
      <w:pPr>
        <w:spacing w:line="360" w:lineRule="auto"/>
        <w:ind w:firstLine="484" w:firstLineChars="202"/>
        <w:jc w:val="left"/>
        <w:rPr>
          <w:sz w:val="24"/>
          <w:szCs w:val="32"/>
        </w:rPr>
      </w:pPr>
      <w:r>
        <w:rPr>
          <w:rFonts w:hint="eastAsia"/>
          <w:sz w:val="24"/>
          <w:szCs w:val="32"/>
        </w:rPr>
        <w:t>将门诊事后可疑违规结果整理成统一的列表，包括就诊流水号、姓名、门诊号、记账时间、项目名称、提示类型和内容等信息，供医保科清楚了解门诊可疑违规行为详情。</w:t>
      </w:r>
    </w:p>
    <w:p>
      <w:pPr>
        <w:pStyle w:val="15"/>
        <w:numPr>
          <w:ilvl w:val="0"/>
          <w:numId w:val="0"/>
        </w:numPr>
        <w:spacing w:before="156" w:beforeLines="50" w:after="156" w:afterLines="50" w:line="360" w:lineRule="auto"/>
        <w:ind w:leftChars="0"/>
        <w:outlineLvl w:val="4"/>
        <w:rPr>
          <w:rFonts w:hint="eastAsia" w:cs="notosanscjksc"/>
          <w:b/>
          <w:bCs/>
          <w:kern w:val="2"/>
          <w:sz w:val="24"/>
          <w:szCs w:val="24"/>
          <w:lang w:val="en-US" w:eastAsia="zh-CN" w:bidi="ar-SA"/>
        </w:rPr>
      </w:pPr>
      <w:r>
        <w:rPr>
          <w:rFonts w:hint="eastAsia" w:cs="notosanscjksc"/>
          <w:b/>
          <w:bCs/>
          <w:kern w:val="2"/>
          <w:sz w:val="24"/>
          <w:szCs w:val="24"/>
          <w:lang w:val="en-US" w:eastAsia="zh-CN" w:bidi="ar-SA"/>
        </w:rPr>
        <w:t>6.1.5.3出院费用审核</w:t>
      </w:r>
    </w:p>
    <w:p>
      <w:pPr>
        <w:spacing w:line="360" w:lineRule="auto"/>
        <w:ind w:firstLine="484" w:firstLineChars="202"/>
        <w:jc w:val="left"/>
        <w:rPr>
          <w:sz w:val="24"/>
          <w:szCs w:val="32"/>
        </w:rPr>
      </w:pPr>
      <w:r>
        <w:rPr>
          <w:rFonts w:hint="eastAsia"/>
          <w:sz w:val="24"/>
          <w:szCs w:val="32"/>
        </w:rPr>
        <w:t>每天自动收集整理出院患者的诊疗费用信息，整理成统一列表，利用智能审核规则引擎对其进行事后审核，开展事后回顾性分析，检验是否存在可疑违规行为。</w:t>
      </w:r>
    </w:p>
    <w:p>
      <w:pPr>
        <w:pStyle w:val="4"/>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6.1.5.4出院审核结果</w:t>
      </w:r>
    </w:p>
    <w:p>
      <w:pPr>
        <w:spacing w:line="360" w:lineRule="auto"/>
        <w:ind w:firstLine="484" w:firstLineChars="202"/>
        <w:jc w:val="left"/>
        <w:rPr>
          <w:sz w:val="24"/>
          <w:szCs w:val="32"/>
        </w:rPr>
      </w:pPr>
      <w:r>
        <w:rPr>
          <w:rFonts w:hint="eastAsia"/>
          <w:sz w:val="24"/>
          <w:szCs w:val="32"/>
        </w:rPr>
        <w:t>将出院事后可疑违规结果整理成统一的列表，包括就诊流水号、姓名、住院号、记账时间、项目名称、提示类型和内容等信息，供医保科清楚了解出院可疑违规行为详情。</w:t>
      </w:r>
    </w:p>
    <w:p>
      <w:pPr>
        <w:pStyle w:val="3"/>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6.1.6审核总览</w:t>
      </w:r>
    </w:p>
    <w:p>
      <w:pPr>
        <w:spacing w:line="360" w:lineRule="auto"/>
        <w:ind w:firstLine="484" w:firstLineChars="202"/>
        <w:jc w:val="left"/>
        <w:rPr>
          <w:sz w:val="24"/>
          <w:szCs w:val="32"/>
        </w:rPr>
      </w:pPr>
      <w:r>
        <w:rPr>
          <w:rFonts w:hint="eastAsia"/>
          <w:sz w:val="24"/>
          <w:szCs w:val="32"/>
        </w:rPr>
        <w:t>开展对门诊和住院智能审核数据的统计分析，一方面了解智能审核在日常业务场景中的使用成效，另一方面着重借助审核数据发现诊疗过程中存在的常见问题，进而有针对性地采取相关措施进行改进和优化，从而降低可疑违规行为的发生，规范医保基金的安全使用。具体功能要求提供：</w:t>
      </w:r>
    </w:p>
    <w:p>
      <w:pPr>
        <w:spacing w:line="360" w:lineRule="auto"/>
        <w:jc w:val="left"/>
        <w:rPr>
          <w:sz w:val="24"/>
          <w:szCs w:val="32"/>
        </w:rPr>
      </w:pPr>
      <w:bookmarkStart w:id="7" w:name="_Hlk209087182"/>
      <w:r>
        <w:rPr>
          <w:rFonts w:hint="eastAsia"/>
          <w:sz w:val="24"/>
          <w:szCs w:val="32"/>
          <w:lang w:eastAsia="zh-CN"/>
        </w:rPr>
        <w:t>（</w:t>
      </w:r>
      <w:r>
        <w:rPr>
          <w:rFonts w:hint="eastAsia"/>
          <w:sz w:val="24"/>
          <w:szCs w:val="32"/>
          <w:lang w:val="en-US" w:eastAsia="zh-CN"/>
        </w:rPr>
        <w:t>1</w:t>
      </w:r>
      <w:r>
        <w:rPr>
          <w:rFonts w:hint="eastAsia"/>
          <w:sz w:val="24"/>
          <w:szCs w:val="32"/>
          <w:lang w:eastAsia="zh-CN"/>
        </w:rPr>
        <w:t>）</w:t>
      </w:r>
      <w:r>
        <w:rPr>
          <w:rFonts w:hint="eastAsia"/>
          <w:sz w:val="24"/>
          <w:szCs w:val="32"/>
        </w:rPr>
        <w:t>审核成效总览：包括智能审核的启用规则总数、触发规则数、提醒人次、修改人次、提醒违规金额、修改违规金额、规则类型拦截率等（需进行功能演示）；</w:t>
      </w:r>
    </w:p>
    <w:bookmarkEnd w:id="7"/>
    <w:p>
      <w:pPr>
        <w:spacing w:line="360" w:lineRule="auto"/>
        <w:jc w:val="left"/>
        <w:rPr>
          <w:sz w:val="24"/>
          <w:szCs w:val="32"/>
        </w:rPr>
      </w:pPr>
      <w:r>
        <w:rPr>
          <w:rFonts w:hint="eastAsia"/>
          <w:sz w:val="24"/>
          <w:szCs w:val="32"/>
          <w:lang w:eastAsia="zh-CN"/>
        </w:rPr>
        <w:t>（</w:t>
      </w:r>
      <w:r>
        <w:rPr>
          <w:rFonts w:hint="eastAsia"/>
          <w:sz w:val="24"/>
          <w:szCs w:val="32"/>
          <w:lang w:val="en-US" w:eastAsia="zh-CN"/>
        </w:rPr>
        <w:t>2</w:t>
      </w:r>
      <w:r>
        <w:rPr>
          <w:rFonts w:hint="eastAsia"/>
          <w:sz w:val="24"/>
          <w:szCs w:val="32"/>
          <w:lang w:eastAsia="zh-CN"/>
        </w:rPr>
        <w:t>）</w:t>
      </w:r>
      <w:r>
        <w:rPr>
          <w:rFonts w:hint="eastAsia"/>
          <w:sz w:val="24"/>
          <w:szCs w:val="32"/>
        </w:rPr>
        <w:t>审核效率：包括启用规则的类型构成、级别构成、规则场景构成、每条数据审核的消耗时长及各时间段占比；</w:t>
      </w:r>
    </w:p>
    <w:p>
      <w:pPr>
        <w:spacing w:line="360" w:lineRule="auto"/>
        <w:jc w:val="left"/>
        <w:rPr>
          <w:sz w:val="24"/>
          <w:szCs w:val="32"/>
        </w:rPr>
      </w:pPr>
      <w:r>
        <w:rPr>
          <w:rFonts w:hint="eastAsia"/>
          <w:sz w:val="24"/>
          <w:szCs w:val="32"/>
          <w:lang w:eastAsia="zh-CN"/>
        </w:rPr>
        <w:t>（</w:t>
      </w:r>
      <w:r>
        <w:rPr>
          <w:rFonts w:hint="eastAsia"/>
          <w:sz w:val="24"/>
          <w:szCs w:val="32"/>
          <w:lang w:val="en-US" w:eastAsia="zh-CN"/>
        </w:rPr>
        <w:t>3</w:t>
      </w:r>
      <w:r>
        <w:rPr>
          <w:rFonts w:hint="eastAsia"/>
          <w:sz w:val="24"/>
          <w:szCs w:val="32"/>
          <w:lang w:eastAsia="zh-CN"/>
        </w:rPr>
        <w:t>）</w:t>
      </w:r>
      <w:r>
        <w:rPr>
          <w:rFonts w:hint="eastAsia"/>
          <w:sz w:val="24"/>
          <w:szCs w:val="32"/>
        </w:rPr>
        <w:t>违规整体统计：针对每项规则类型和违规项目，统计其提醒人次、提醒违规金额、修改人次、修改违规金额；</w:t>
      </w:r>
    </w:p>
    <w:p>
      <w:pPr>
        <w:spacing w:line="360" w:lineRule="auto"/>
        <w:jc w:val="left"/>
        <w:rPr>
          <w:sz w:val="24"/>
          <w:szCs w:val="32"/>
        </w:rPr>
      </w:pPr>
      <w:r>
        <w:rPr>
          <w:rFonts w:hint="eastAsia" w:ascii="宋体" w:hAnsi="宋体" w:eastAsia="宋体"/>
          <w:sz w:val="24"/>
          <w:szCs w:val="32"/>
        </w:rPr>
        <w:t>▲</w:t>
      </w:r>
      <w:r>
        <w:rPr>
          <w:rFonts w:hint="eastAsia" w:eastAsia="宋体"/>
          <w:sz w:val="24"/>
          <w:szCs w:val="32"/>
          <w:lang w:eastAsia="zh-CN"/>
        </w:rPr>
        <w:t>（</w:t>
      </w:r>
      <w:r>
        <w:rPr>
          <w:rFonts w:hint="eastAsia" w:eastAsia="宋体"/>
          <w:sz w:val="24"/>
          <w:szCs w:val="32"/>
          <w:lang w:val="en-US" w:eastAsia="zh-CN"/>
        </w:rPr>
        <w:t>4</w:t>
      </w:r>
      <w:r>
        <w:rPr>
          <w:rFonts w:hint="eastAsia" w:eastAsia="宋体"/>
          <w:sz w:val="24"/>
          <w:szCs w:val="32"/>
          <w:lang w:eastAsia="zh-CN"/>
        </w:rPr>
        <w:t>）</w:t>
      </w:r>
      <w:r>
        <w:rPr>
          <w:rFonts w:hint="eastAsia"/>
          <w:sz w:val="24"/>
          <w:szCs w:val="32"/>
        </w:rPr>
        <w:t>违规趋势分析：以违规次数、修改次数、提醒违规金额、修改违规金额为统计指标，展示这些指标的变化趋势，直观展示审核成效</w:t>
      </w:r>
      <w:r>
        <w:rPr>
          <w:rFonts w:hint="eastAsia" w:ascii="宋体" w:hAnsi="宋体" w:cs="宋体"/>
          <w:smallCaps/>
          <w:sz w:val="24"/>
        </w:rPr>
        <w:t>（提供产品界面截图示例作为证明依据）</w:t>
      </w:r>
      <w:r>
        <w:rPr>
          <w:rFonts w:hint="eastAsia"/>
          <w:sz w:val="24"/>
          <w:szCs w:val="32"/>
        </w:rPr>
        <w:t>；</w:t>
      </w:r>
    </w:p>
    <w:p>
      <w:pPr>
        <w:spacing w:line="360" w:lineRule="auto"/>
        <w:jc w:val="left"/>
        <w:rPr>
          <w:sz w:val="24"/>
          <w:szCs w:val="32"/>
        </w:rPr>
      </w:pPr>
      <w:r>
        <w:rPr>
          <w:rFonts w:hint="eastAsia"/>
          <w:sz w:val="24"/>
          <w:szCs w:val="32"/>
          <w:lang w:eastAsia="zh-CN"/>
        </w:rPr>
        <w:t>（</w:t>
      </w:r>
      <w:r>
        <w:rPr>
          <w:rFonts w:hint="eastAsia"/>
          <w:sz w:val="24"/>
          <w:szCs w:val="32"/>
          <w:lang w:val="en-US" w:eastAsia="zh-CN"/>
        </w:rPr>
        <w:t>5</w:t>
      </w:r>
      <w:r>
        <w:rPr>
          <w:rFonts w:hint="eastAsia"/>
          <w:sz w:val="24"/>
          <w:szCs w:val="32"/>
          <w:lang w:eastAsia="zh-CN"/>
        </w:rPr>
        <w:t>）</w:t>
      </w:r>
      <w:r>
        <w:rPr>
          <w:rFonts w:hint="eastAsia"/>
          <w:sz w:val="24"/>
          <w:szCs w:val="32"/>
        </w:rPr>
        <w:t>违规排名分析：分别以违规次数、修改次数、提醒违规金额、修改违规金额为衡量指标，对违规项目、违规类型、违规科室进行排名分析，进一步挖掘违规的主体和问题根源。</w:t>
      </w:r>
    </w:p>
    <w:p>
      <w:pPr>
        <w:pStyle w:val="3"/>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6.1.7审核日志</w:t>
      </w:r>
    </w:p>
    <w:p>
      <w:pPr>
        <w:tabs>
          <w:tab w:val="left" w:pos="633"/>
        </w:tabs>
        <w:spacing w:line="360" w:lineRule="auto"/>
        <w:ind w:firstLine="480" w:firstLineChars="200"/>
        <w:rPr>
          <w:rFonts w:hint="eastAsia" w:cs="notosanscjksc" w:asciiTheme="minorHAnsi" w:hAnsiTheme="minorHAnsi" w:eastAsiaTheme="minorEastAsia"/>
          <w:b/>
          <w:bCs/>
          <w:color w:val="auto"/>
          <w:kern w:val="2"/>
          <w:sz w:val="24"/>
          <w:szCs w:val="24"/>
          <w:lang w:val="en-US" w:eastAsia="zh-CN" w:bidi="ar-SA"/>
        </w:rPr>
      </w:pPr>
      <w:r>
        <w:rPr>
          <w:rFonts w:hint="eastAsia"/>
          <w:sz w:val="24"/>
        </w:rPr>
        <w:t>记录每次进行智能审核的操作记录，生成详细的日志，包括何时开始进行审核、何时结束审核、审核病患信息（就诊流水号、患者姓名）、审核场景、审核过程中提示的内容和数量等。工作人员可随时对日志进行查阅，了解智能审核的每个过程，当出现问题时，可借助日志记录还原当时的审核场景，快速定位存在问题的患者诊疗信息，及时解决可能出现的问题。</w:t>
      </w:r>
    </w:p>
    <w:p>
      <w:pPr>
        <w:pStyle w:val="2"/>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6.2医保审核管理</w:t>
      </w:r>
    </w:p>
    <w:p>
      <w:pPr>
        <w:spacing w:line="360" w:lineRule="auto"/>
        <w:ind w:firstLine="480" w:firstLineChars="200"/>
        <w:rPr>
          <w:rFonts w:ascii="宋体" w:hAnsi="宋体" w:eastAsia="宋体" w:cs="宋体"/>
          <w:sz w:val="24"/>
        </w:rPr>
      </w:pPr>
      <w:r>
        <w:rPr>
          <w:rFonts w:hint="eastAsia" w:ascii="宋体" w:hAnsi="宋体" w:eastAsia="宋体" w:cs="宋体"/>
          <w:sz w:val="24"/>
        </w:rPr>
        <w:t>针对医保局下发的可疑违规行为清单，系统将通过全线上处理，覆盖问题导入、指派、查阅、医师填写反馈信息、管理层审核、统一上传、问题归档在内的全流程，方便管理层和医师可随时接受最新消息。</w:t>
      </w:r>
    </w:p>
    <w:p>
      <w:pPr>
        <w:pStyle w:val="4"/>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6.2.1疑似违规管理</w:t>
      </w:r>
    </w:p>
    <w:p>
      <w:pPr>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6.2.1.1问题导入</w:t>
      </w:r>
    </w:p>
    <w:p>
      <w:pPr>
        <w:spacing w:line="360" w:lineRule="auto"/>
        <w:ind w:firstLine="480" w:firstLineChars="200"/>
        <w:rPr>
          <w:rFonts w:ascii="宋体" w:hAnsi="宋体" w:eastAsia="宋体" w:cs="宋体"/>
          <w:sz w:val="24"/>
        </w:rPr>
      </w:pPr>
      <w:r>
        <w:rPr>
          <w:rFonts w:hint="eastAsia" w:ascii="宋体" w:hAnsi="宋体" w:eastAsia="宋体" w:cs="宋体"/>
          <w:sz w:val="24"/>
        </w:rPr>
        <w:t>将医保局下发的可疑违规行为清单导入本系统中，在导入过程中，系统应内置不同的模板，灵活应对各种情况，工作人员可根据工作习性和需求选择对应的模板进行导入操作，方便团队协作。</w:t>
      </w:r>
    </w:p>
    <w:p>
      <w:pPr>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6.2.1.2问题指派</w:t>
      </w:r>
    </w:p>
    <w:p>
      <w:pPr>
        <w:spacing w:line="360" w:lineRule="auto"/>
        <w:ind w:firstLine="480" w:firstLineChars="200"/>
        <w:rPr>
          <w:rFonts w:ascii="宋体" w:hAnsi="宋体" w:eastAsia="宋体" w:cs="宋体"/>
          <w:sz w:val="24"/>
        </w:rPr>
      </w:pPr>
      <w:r>
        <w:rPr>
          <w:rFonts w:hint="eastAsia" w:ascii="宋体" w:hAnsi="宋体" w:eastAsia="宋体" w:cs="宋体"/>
          <w:sz w:val="24"/>
        </w:rPr>
        <w:t>在信息成功导入系统后，管理人员即可对问题进行指派，要求：</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根据医院日常业务流程内置对应的指派逻辑，当管理人员选定指派人后，系统将自动推进流程的进度；</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支持同时对单条或多条任务的批量指派，提高指派的工作效率；</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管理人员可根据实际修改任务的截止时间，灵活掌控任务的进度；</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可实时调整模板的系统匹配逻辑，提高匹配的准确性；</w:t>
      </w:r>
    </w:p>
    <w:p>
      <w:pPr>
        <w:spacing w:line="360" w:lineRule="auto"/>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提供白名单设置，只允许指定人员进行对应操作，在方便人员管理的同时，保障信息安全</w:t>
      </w:r>
      <w:r>
        <w:rPr>
          <w:rFonts w:hint="eastAsia" w:ascii="宋体" w:hAnsi="宋体" w:cs="宋体"/>
          <w:smallCaps/>
          <w:sz w:val="24"/>
        </w:rPr>
        <w:t>（提供产品界面截图示例作为证明依据）</w:t>
      </w:r>
      <w:r>
        <w:rPr>
          <w:rFonts w:hint="eastAsia" w:ascii="宋体" w:hAnsi="宋体" w:eastAsia="宋体" w:cs="宋体"/>
          <w:sz w:val="24"/>
        </w:rPr>
        <w:t>。</w:t>
      </w:r>
    </w:p>
    <w:p>
      <w:pPr>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6.2.1.3问题查阅与反馈</w:t>
      </w:r>
    </w:p>
    <w:p>
      <w:pPr>
        <w:spacing w:line="360" w:lineRule="auto"/>
        <w:ind w:firstLine="480" w:firstLineChars="200"/>
        <w:rPr>
          <w:rFonts w:ascii="宋体" w:hAnsi="宋体" w:eastAsia="宋体" w:cs="宋体"/>
          <w:sz w:val="24"/>
        </w:rPr>
      </w:pPr>
      <w:r>
        <w:rPr>
          <w:rFonts w:hint="eastAsia" w:ascii="宋体" w:hAnsi="宋体" w:eastAsia="宋体" w:cs="宋体"/>
          <w:sz w:val="24"/>
        </w:rPr>
        <w:t>在问题指派后，指定的指派工作人员即可查阅对应的可疑违规信息，并可就列出的单条或多条问题进行反馈。为提高问题反馈的效率，要求:</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反馈信息的随更随改：工作人员可填写、修改、暂存、删除反馈信息，随时对反馈信息进行调整；</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佐证材料的配套：在工作人员填写反馈信息时，可随时上传配套的佐证材料，提高申诉的成功率，工作热源也可随时对佐证材料进行预览、修改、删除；</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丰富的反馈模板：系统内置丰富的反馈模板，工作人员可根据数据的违规类型匹配不同的模板，减少操作步骤，提高工作效率；</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第三方嵌入：支持第三方系统直接嵌入本模块实现对数据的查询、暂存、反馈、材料上传、修改等功能；</w:t>
      </w:r>
    </w:p>
    <w:p>
      <w:pPr>
        <w:numPr>
          <w:ilvl w:val="3"/>
          <w:numId w:val="0"/>
        </w:numPr>
        <w:snapToGrid w:val="0"/>
        <w:spacing w:line="360" w:lineRule="auto"/>
        <w:rPr>
          <w:rFonts w:hint="default"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6.2.1.4问题审核与归档</w:t>
      </w:r>
    </w:p>
    <w:p>
      <w:pPr>
        <w:spacing w:line="360" w:lineRule="auto"/>
        <w:ind w:firstLine="480" w:firstLineChars="200"/>
        <w:rPr>
          <w:rFonts w:ascii="宋体" w:hAnsi="宋体" w:eastAsia="宋体" w:cs="宋体"/>
          <w:sz w:val="24"/>
        </w:rPr>
      </w:pPr>
      <w:r>
        <w:rPr>
          <w:rFonts w:hint="eastAsia" w:ascii="宋体" w:hAnsi="宋体" w:eastAsia="宋体" w:cs="宋体"/>
          <w:sz w:val="24"/>
        </w:rPr>
        <w:t>当临床医师填写好问题反馈并提交后，支持医师自助审核或问题负责人开展审核，问题审核服务要求：</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信息的自动填充：与院内相关系统对接，自动填充前置信息，减少填写工作量。</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多级审核：医院可根据实际处理流程，设置多层审核流程，满足多级管理需求；</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内容审核：负责人在对提交的内容进行审核后，可进行编辑、作废、删除、归档、提交等操作；</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精准管控：系统针对不同维度设定数据权限，例如问题发生客户、发生医生、所在科室等，只允许工作人员查看对应权限的信息；</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审批流程调整：可根据实际需求对已有的审核流程进行调整；</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6</w:t>
      </w:r>
      <w:r>
        <w:rPr>
          <w:rFonts w:hint="eastAsia" w:ascii="宋体" w:hAnsi="宋体" w:eastAsia="宋体" w:cs="宋体"/>
          <w:sz w:val="24"/>
          <w:lang w:eastAsia="zh-CN"/>
        </w:rPr>
        <w:t>）</w:t>
      </w:r>
      <w:r>
        <w:rPr>
          <w:rFonts w:hint="eastAsia" w:ascii="宋体" w:hAnsi="宋体" w:eastAsia="宋体" w:cs="宋体"/>
          <w:sz w:val="24"/>
        </w:rPr>
        <w:t>历史审核意见回顾：可对同一问题的历史审批意见进行回顾性查阅，方便快速了解来龙去脉，方便审核；</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7</w:t>
      </w:r>
      <w:r>
        <w:rPr>
          <w:rFonts w:hint="eastAsia" w:ascii="宋体" w:hAnsi="宋体" w:eastAsia="宋体" w:cs="宋体"/>
          <w:sz w:val="24"/>
          <w:lang w:eastAsia="zh-CN"/>
        </w:rPr>
        <w:t>）</w:t>
      </w:r>
      <w:r>
        <w:rPr>
          <w:rFonts w:hint="eastAsia" w:ascii="宋体" w:hAnsi="宋体" w:eastAsia="宋体" w:cs="宋体"/>
          <w:sz w:val="24"/>
        </w:rPr>
        <w:t>问题归档：将最终审核通过的问题进行统一归档，支撑申诉信息的一键上传</w:t>
      </w:r>
    </w:p>
    <w:p>
      <w:pPr>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6.2.1.5问题导出</w:t>
      </w:r>
    </w:p>
    <w:p>
      <w:pPr>
        <w:spacing w:line="360" w:lineRule="auto"/>
        <w:ind w:firstLine="480" w:firstLineChars="200"/>
        <w:rPr>
          <w:rFonts w:ascii="宋体" w:hAnsi="宋体" w:eastAsia="宋体" w:cs="宋体"/>
          <w:sz w:val="24"/>
        </w:rPr>
      </w:pPr>
      <w:r>
        <w:rPr>
          <w:rFonts w:hint="eastAsia" w:ascii="宋体" w:hAnsi="宋体" w:eastAsia="宋体" w:cs="宋体"/>
          <w:sz w:val="24"/>
        </w:rPr>
        <w:t>支持工作人员直接对已归档的反馈信息进行统一导出，进而对数据进一步处理或共享。在导出过程中，系统内置不同的导出模板，工作人员可根据实际需求选择对应的模板导出内容，满足个性化需求；导出的内容包含反馈信息以及上传的佐证材料，若佐证材料有相关超链接，将在导出时一并嵌入，方便查阅。</w:t>
      </w:r>
    </w:p>
    <w:p>
      <w:pPr>
        <w:spacing w:line="360" w:lineRule="auto"/>
        <w:ind w:firstLine="480" w:firstLineChars="200"/>
        <w:rPr>
          <w:rFonts w:ascii="宋体" w:hAnsi="宋体" w:eastAsia="宋体" w:cs="宋体"/>
          <w:sz w:val="24"/>
        </w:rPr>
      </w:pPr>
      <w:r>
        <w:rPr>
          <w:rFonts w:hint="eastAsia" w:ascii="宋体" w:hAnsi="宋体" w:eastAsia="宋体" w:cs="宋体"/>
          <w:sz w:val="24"/>
        </w:rPr>
        <w:t>同时，为保障数据安全，系统提供权限控制，指定不同权限可导出的范围</w:t>
      </w:r>
    </w:p>
    <w:p>
      <w:pPr>
        <w:pStyle w:val="4"/>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6.2.2最终违规</w:t>
      </w:r>
    </w:p>
    <w:p>
      <w:pPr>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6.2.2.1数据导入</w:t>
      </w:r>
    </w:p>
    <w:p>
      <w:pPr>
        <w:spacing w:line="360" w:lineRule="auto"/>
        <w:ind w:firstLine="480" w:firstLineChars="200"/>
        <w:rPr>
          <w:rFonts w:ascii="宋体" w:hAnsi="宋体" w:eastAsia="宋体" w:cs="宋体"/>
          <w:sz w:val="24"/>
        </w:rPr>
      </w:pPr>
      <w:r>
        <w:rPr>
          <w:rFonts w:hint="eastAsia" w:ascii="宋体" w:hAnsi="宋体" w:eastAsia="宋体" w:cs="宋体"/>
          <w:sz w:val="24"/>
        </w:rPr>
        <w:t>利用系统已有的导入模板，将医保局下发的最终违规数据直接导入系统中。针对不同类型的数据，系统内置了丰富的模板，以应对不同的需求和任务，灵活适应业务需求。</w:t>
      </w:r>
    </w:p>
    <w:p>
      <w:pPr>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6.2.2.2数据查询</w:t>
      </w:r>
    </w:p>
    <w:p>
      <w:pPr>
        <w:spacing w:line="360" w:lineRule="auto"/>
        <w:ind w:firstLine="480" w:firstLineChars="200"/>
        <w:rPr>
          <w:rFonts w:ascii="宋体" w:hAnsi="宋体" w:eastAsia="宋体" w:cs="宋体"/>
          <w:sz w:val="24"/>
        </w:rPr>
      </w:pPr>
      <w:r>
        <w:rPr>
          <w:rFonts w:hint="eastAsia" w:ascii="宋体" w:hAnsi="宋体" w:eastAsia="宋体" w:cs="宋体"/>
          <w:sz w:val="24"/>
        </w:rPr>
        <w:t>对系统已经导入的最终违规数据，工作人员可在权限范围内，通过灵活的检索条件，快速查阅对应的数据。对于已查询获取的数据，工作人员可直接导出进行下一步处理。</w:t>
      </w:r>
    </w:p>
    <w:p>
      <w:pPr>
        <w:pStyle w:val="4"/>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6.2.3最终违规统计</w:t>
      </w:r>
    </w:p>
    <w:p>
      <w:pPr>
        <w:spacing w:line="360" w:lineRule="auto"/>
        <w:ind w:firstLine="480" w:firstLineChars="200"/>
        <w:rPr>
          <w:rFonts w:ascii="宋体" w:hAnsi="宋体" w:eastAsia="宋体" w:cs="宋体"/>
          <w:sz w:val="24"/>
        </w:rPr>
      </w:pPr>
      <w:r>
        <w:rPr>
          <w:rFonts w:hint="eastAsia" w:ascii="宋体" w:hAnsi="宋体" w:eastAsia="宋体" w:cs="宋体"/>
          <w:sz w:val="24"/>
        </w:rPr>
        <w:t>基于已导入的最终违规数据展开多角度、深度统计分析，挖掘医院诊疗过程中可能存在的不足。统计分析内容应包括：</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最终违规损失总览：包括违规的例数、扣除总金额、本期扣除金额，以及各项指标的同比环比；</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最终违规规则构成：从多角度开展对违规规则构成的分析，包括以医保类型维度的违规规则构成、以审核分类维度的违规规则构成、以情况类别维度的违规规则构成；</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科室扣款排名分析：以扣款金额为衡量指标，对全院各个科室进行排名分析；</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医保限定支付范围用药审核：展示医保限定支付范围用药审核的例数和金额的变化趋势；</w:t>
      </w:r>
    </w:p>
    <w:p>
      <w:pPr>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重点药品错选分析：以重点药品错选为分析重点，统计各类项目、违规描述以及违规例数</w:t>
      </w:r>
    </w:p>
    <w:p>
      <w:pPr>
        <w:pStyle w:val="2"/>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6.3医保结算管理</w:t>
      </w:r>
    </w:p>
    <w:p>
      <w:pPr>
        <w:spacing w:line="360" w:lineRule="auto"/>
        <w:ind w:firstLine="480" w:firstLineChars="200"/>
        <w:jc w:val="left"/>
        <w:rPr>
          <w:rFonts w:ascii="宋体" w:hAnsi="宋体" w:cs="宋体"/>
          <w:b/>
          <w:bCs/>
          <w:smallCaps/>
          <w:sz w:val="24"/>
        </w:rPr>
      </w:pPr>
      <w:r>
        <w:rPr>
          <w:rFonts w:hint="eastAsia"/>
          <w:sz w:val="24"/>
          <w:szCs w:val="32"/>
        </w:rPr>
        <w:t>结算清单是医院医保报销时的重要凭证，直接关乎医院的经济收益。根据国家政策要求，医院提交的结算清单数据应遵循编写规范，否则将影响医保支付。医保结算清单质控是以国家、省市最新的政策要求为指南内置结算清单质控规则，且支持自定义规则设置。基于质控规则形成的规则引擎即可开展对结算清单数据进行审核，对不符合要求的数据项予以特别标注，包括指出错误原因和修改意见等，方便临床医师或病案室及时进行调整，医保科也可直接进行监控和干预。系统会同步记录每次的修改历史，当数据审核通过后，可直接一键上报，实现清单质控的全流程管理</w:t>
      </w:r>
      <w:r>
        <w:rPr>
          <w:rFonts w:hint="eastAsia"/>
          <w:b/>
          <w:bCs/>
          <w:sz w:val="24"/>
          <w:szCs w:val="32"/>
        </w:rPr>
        <w:t>。</w:t>
      </w:r>
    </w:p>
    <w:p>
      <w:pPr>
        <w:pStyle w:val="4"/>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6.3.1结算清单管理总览</w:t>
      </w:r>
    </w:p>
    <w:p>
      <w:pPr>
        <w:spacing w:line="360" w:lineRule="auto"/>
        <w:ind w:firstLine="484" w:firstLineChars="202"/>
        <w:jc w:val="left"/>
        <w:rPr>
          <w:sz w:val="24"/>
          <w:szCs w:val="32"/>
        </w:rPr>
      </w:pPr>
      <w:r>
        <w:rPr>
          <w:rFonts w:hint="eastAsia"/>
          <w:sz w:val="24"/>
          <w:szCs w:val="32"/>
        </w:rPr>
        <w:t>结算清单问题总览主要面向医院管理层，通过对质控过程中发现的各项问题进行统计分析，使管理层能够快速发现医院常见问题以及背后可能的原因。要求：</w:t>
      </w:r>
    </w:p>
    <w:p>
      <w:pPr>
        <w:spacing w:line="360" w:lineRule="auto"/>
        <w:jc w:val="left"/>
        <w:rPr>
          <w:sz w:val="24"/>
          <w:szCs w:val="32"/>
        </w:rPr>
      </w:pPr>
      <w:r>
        <w:rPr>
          <w:rFonts w:hint="eastAsia" w:ascii="宋体" w:hAnsi="宋体" w:eastAsia="宋体"/>
          <w:sz w:val="24"/>
          <w:szCs w:val="32"/>
        </w:rPr>
        <w:t>▲</w:t>
      </w:r>
      <w:r>
        <w:rPr>
          <w:rFonts w:hint="eastAsia" w:ascii="宋体" w:hAnsi="宋体" w:eastAsia="宋体"/>
          <w:sz w:val="24"/>
          <w:szCs w:val="32"/>
          <w:lang w:eastAsia="zh-CN"/>
        </w:rPr>
        <w:t>（</w:t>
      </w:r>
      <w:r>
        <w:rPr>
          <w:rFonts w:hint="eastAsia" w:ascii="宋体" w:hAnsi="宋体" w:eastAsia="宋体"/>
          <w:sz w:val="24"/>
          <w:szCs w:val="32"/>
          <w:lang w:val="en-US" w:eastAsia="zh-CN"/>
        </w:rPr>
        <w:t>1</w:t>
      </w:r>
      <w:r>
        <w:rPr>
          <w:rFonts w:hint="eastAsia" w:ascii="宋体" w:hAnsi="宋体" w:eastAsia="宋体"/>
          <w:sz w:val="24"/>
          <w:szCs w:val="32"/>
          <w:lang w:eastAsia="zh-CN"/>
        </w:rPr>
        <w:t>）</w:t>
      </w:r>
      <w:r>
        <w:rPr>
          <w:rFonts w:hint="eastAsia"/>
          <w:sz w:val="24"/>
          <w:szCs w:val="32"/>
        </w:rPr>
        <w:t>质控问题总览：展示质控过程中发现的问题整体情况，包括结算清单各阶段数量分布、常见类型的结算清单数量、当前存在的质控问题分布分析、清单质控数量趋势分析</w:t>
      </w:r>
      <w:r>
        <w:rPr>
          <w:rFonts w:hint="eastAsia" w:ascii="宋体" w:hAnsi="宋体" w:cs="宋体"/>
          <w:smallCaps/>
          <w:sz w:val="24"/>
        </w:rPr>
        <w:t>（提供产品界面截图示例作为证明依据）</w:t>
      </w:r>
      <w:r>
        <w:rPr>
          <w:rFonts w:hint="eastAsia"/>
          <w:sz w:val="24"/>
          <w:szCs w:val="32"/>
        </w:rPr>
        <w:t>；</w:t>
      </w:r>
    </w:p>
    <w:p>
      <w:pPr>
        <w:spacing w:line="360" w:lineRule="auto"/>
        <w:jc w:val="left"/>
        <w:rPr>
          <w:sz w:val="24"/>
          <w:szCs w:val="32"/>
        </w:rPr>
      </w:pPr>
      <w:r>
        <w:rPr>
          <w:rFonts w:hint="eastAsia"/>
          <w:sz w:val="24"/>
          <w:szCs w:val="32"/>
          <w:lang w:eastAsia="zh-CN"/>
        </w:rPr>
        <w:t>（</w:t>
      </w:r>
      <w:r>
        <w:rPr>
          <w:rFonts w:hint="eastAsia"/>
          <w:sz w:val="24"/>
          <w:szCs w:val="32"/>
          <w:lang w:val="en-US" w:eastAsia="zh-CN"/>
        </w:rPr>
        <w:t>2</w:t>
      </w:r>
      <w:r>
        <w:rPr>
          <w:rFonts w:hint="eastAsia"/>
          <w:sz w:val="24"/>
          <w:szCs w:val="32"/>
          <w:lang w:eastAsia="zh-CN"/>
        </w:rPr>
        <w:t>）</w:t>
      </w:r>
      <w:r>
        <w:rPr>
          <w:rFonts w:hint="eastAsia"/>
          <w:sz w:val="24"/>
          <w:szCs w:val="32"/>
        </w:rPr>
        <w:t>初始数据与当前数据的差异对比：对比HIS系统中产生的源数据与本系统中结算清单数据存在的差异性分析，检查源系统与本系统数据是否一致，对于不一致的病例信息，管理员可通过展示的详情予以追踪；</w:t>
      </w:r>
    </w:p>
    <w:p>
      <w:pPr>
        <w:spacing w:line="360" w:lineRule="auto"/>
        <w:jc w:val="left"/>
        <w:rPr>
          <w:sz w:val="24"/>
          <w:szCs w:val="32"/>
        </w:rPr>
      </w:pPr>
      <w:r>
        <w:rPr>
          <w:rFonts w:hint="eastAsia"/>
          <w:sz w:val="24"/>
          <w:szCs w:val="32"/>
          <w:lang w:eastAsia="zh-CN"/>
        </w:rPr>
        <w:t>（</w:t>
      </w:r>
      <w:r>
        <w:rPr>
          <w:rFonts w:hint="eastAsia"/>
          <w:sz w:val="24"/>
          <w:szCs w:val="32"/>
          <w:lang w:val="en-US" w:eastAsia="zh-CN"/>
        </w:rPr>
        <w:t>3</w:t>
      </w:r>
      <w:r>
        <w:rPr>
          <w:rFonts w:hint="eastAsia"/>
          <w:sz w:val="24"/>
          <w:szCs w:val="32"/>
          <w:lang w:eastAsia="zh-CN"/>
        </w:rPr>
        <w:t>）</w:t>
      </w:r>
      <w:r>
        <w:rPr>
          <w:rFonts w:hint="eastAsia"/>
          <w:sz w:val="24"/>
          <w:szCs w:val="32"/>
        </w:rPr>
        <w:t>当前数据与上传数据的差异对比：对比本系统审核通过的结算清单数据与医保局接收的上传数据存在的差异性分析，检查医院上传数据与医保局接收数据是否一致，对于不一致的病例信息，系统将展示病例详情，方便管理员进行追踪。</w:t>
      </w:r>
    </w:p>
    <w:p>
      <w:pPr>
        <w:pStyle w:val="4"/>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6.3.2质控规则管理</w:t>
      </w:r>
    </w:p>
    <w:p>
      <w:pPr>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6.3.2.1质控规则管理</w:t>
      </w:r>
    </w:p>
    <w:p>
      <w:pPr>
        <w:spacing w:line="360" w:lineRule="auto"/>
        <w:ind w:firstLine="484" w:firstLineChars="202"/>
        <w:jc w:val="left"/>
        <w:rPr>
          <w:sz w:val="24"/>
          <w:szCs w:val="32"/>
        </w:rPr>
      </w:pPr>
      <w:r>
        <w:rPr>
          <w:rFonts w:hint="eastAsia"/>
          <w:sz w:val="24"/>
          <w:szCs w:val="32"/>
        </w:rPr>
        <w:t>以国家发布的《医疗保障基金结算清单填写规范》等红头文件、临床指南以及医院实践累积规则等创建结算清单质控规则库，构建规则引擎，形成对规则的统一管理：</w:t>
      </w:r>
    </w:p>
    <w:p>
      <w:pPr>
        <w:spacing w:line="360" w:lineRule="auto"/>
        <w:jc w:val="left"/>
        <w:rPr>
          <w:sz w:val="24"/>
          <w:szCs w:val="32"/>
        </w:rPr>
      </w:pPr>
      <w:bookmarkStart w:id="8" w:name="_Hlk209087395"/>
      <w:r>
        <w:rPr>
          <w:rFonts w:hint="eastAsia"/>
          <w:sz w:val="24"/>
          <w:szCs w:val="32"/>
          <w:lang w:eastAsia="zh-CN"/>
        </w:rPr>
        <w:t>（</w:t>
      </w:r>
      <w:r>
        <w:rPr>
          <w:rFonts w:hint="eastAsia"/>
          <w:sz w:val="24"/>
          <w:szCs w:val="32"/>
          <w:lang w:val="en-US" w:eastAsia="zh-CN"/>
        </w:rPr>
        <w:t>1</w:t>
      </w:r>
      <w:r>
        <w:rPr>
          <w:rFonts w:hint="eastAsia"/>
          <w:sz w:val="24"/>
          <w:szCs w:val="32"/>
          <w:lang w:eastAsia="zh-CN"/>
        </w:rPr>
        <w:t>）</w:t>
      </w:r>
      <w:r>
        <w:rPr>
          <w:rFonts w:hint="eastAsia"/>
          <w:sz w:val="24"/>
          <w:szCs w:val="32"/>
        </w:rPr>
        <w:t>质控规则的设计：工作人员可直接通过可视化方式设置每项质控规则的逻辑流程，快速完成规则的设计</w:t>
      </w:r>
      <w:bookmarkEnd w:id="8"/>
      <w:r>
        <w:rPr>
          <w:rFonts w:hint="eastAsia"/>
          <w:sz w:val="24"/>
          <w:szCs w:val="32"/>
        </w:rPr>
        <w:t>（需进行功能演示）；</w:t>
      </w:r>
    </w:p>
    <w:p>
      <w:pPr>
        <w:spacing w:line="360" w:lineRule="auto"/>
        <w:jc w:val="left"/>
        <w:rPr>
          <w:sz w:val="24"/>
          <w:szCs w:val="32"/>
        </w:rPr>
      </w:pPr>
      <w:r>
        <w:rPr>
          <w:rFonts w:hint="eastAsia"/>
          <w:sz w:val="24"/>
          <w:szCs w:val="32"/>
          <w:lang w:eastAsia="zh-CN"/>
        </w:rPr>
        <w:t>（</w:t>
      </w:r>
      <w:r>
        <w:rPr>
          <w:rFonts w:hint="eastAsia"/>
          <w:sz w:val="24"/>
          <w:szCs w:val="32"/>
          <w:lang w:val="en-US" w:eastAsia="zh-CN"/>
        </w:rPr>
        <w:t>2</w:t>
      </w:r>
      <w:r>
        <w:rPr>
          <w:rFonts w:hint="eastAsia"/>
          <w:sz w:val="24"/>
          <w:szCs w:val="32"/>
          <w:lang w:eastAsia="zh-CN"/>
        </w:rPr>
        <w:t>）</w:t>
      </w:r>
      <w:r>
        <w:rPr>
          <w:rFonts w:hint="eastAsia"/>
          <w:sz w:val="24"/>
          <w:szCs w:val="32"/>
        </w:rPr>
        <w:t>质控规则的操作：工作人员可直接对现有质控规则进行查询、编辑、删除等操作；</w:t>
      </w:r>
    </w:p>
    <w:p>
      <w:pPr>
        <w:spacing w:line="360" w:lineRule="auto"/>
        <w:jc w:val="left"/>
        <w:rPr>
          <w:sz w:val="24"/>
          <w:szCs w:val="32"/>
        </w:rPr>
      </w:pPr>
      <w:r>
        <w:rPr>
          <w:rFonts w:hint="eastAsia"/>
          <w:sz w:val="24"/>
          <w:szCs w:val="32"/>
          <w:lang w:eastAsia="zh-CN"/>
        </w:rPr>
        <w:t>（</w:t>
      </w:r>
      <w:r>
        <w:rPr>
          <w:rFonts w:hint="eastAsia"/>
          <w:sz w:val="24"/>
          <w:szCs w:val="32"/>
          <w:lang w:val="en-US" w:eastAsia="zh-CN"/>
        </w:rPr>
        <w:t>3</w:t>
      </w:r>
      <w:r>
        <w:rPr>
          <w:rFonts w:hint="eastAsia"/>
          <w:sz w:val="24"/>
          <w:szCs w:val="32"/>
          <w:lang w:eastAsia="zh-CN"/>
        </w:rPr>
        <w:t>）</w:t>
      </w:r>
      <w:r>
        <w:rPr>
          <w:rFonts w:hint="eastAsia"/>
          <w:sz w:val="24"/>
          <w:szCs w:val="32"/>
        </w:rPr>
        <w:t>规则的分类：结算清单共包括基本信息、门诊慢特病诊疗信息、住院诊疗信息、医疗收费信息、其他几大类，质控规则应分门别类进行管理。</w:t>
      </w:r>
    </w:p>
    <w:p>
      <w:pPr>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6.3.2.2字段字典管理</w:t>
      </w:r>
    </w:p>
    <w:p>
      <w:pPr>
        <w:spacing w:line="360" w:lineRule="auto"/>
        <w:ind w:firstLine="484" w:firstLineChars="202"/>
        <w:jc w:val="left"/>
        <w:rPr>
          <w:sz w:val="24"/>
          <w:szCs w:val="32"/>
        </w:rPr>
      </w:pPr>
      <w:r>
        <w:rPr>
          <w:rFonts w:hint="eastAsia"/>
          <w:sz w:val="24"/>
          <w:szCs w:val="32"/>
        </w:rPr>
        <w:t>字段字典管理是针对结算清单各个数据项的信息进行统一管理，管理员可添加、编辑和删除字段，并设定字段的名称、数据类型、取值范围等</w:t>
      </w:r>
    </w:p>
    <w:p>
      <w:pPr>
        <w:pStyle w:val="4"/>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6.3.3质控管理</w:t>
      </w:r>
    </w:p>
    <w:p>
      <w:pPr>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6.3.3.1获取院内系统生成的结算清单</w:t>
      </w:r>
    </w:p>
    <w:p>
      <w:pPr>
        <w:spacing w:line="360" w:lineRule="auto"/>
        <w:ind w:firstLine="484" w:firstLineChars="202"/>
        <w:jc w:val="left"/>
        <w:rPr>
          <w:sz w:val="24"/>
          <w:szCs w:val="32"/>
        </w:rPr>
      </w:pPr>
      <w:r>
        <w:rPr>
          <w:rFonts w:hint="eastAsia"/>
          <w:sz w:val="24"/>
          <w:szCs w:val="32"/>
        </w:rPr>
        <w:t>通过标准数据接口，直接从第三方业务系统中抽取病例结算清单的相关数据，根据规范要求转换为病例结算清单数据。</w:t>
      </w:r>
    </w:p>
    <w:p>
      <w:pPr>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6.3.3.2清单质控</w:t>
      </w:r>
    </w:p>
    <w:p>
      <w:pPr>
        <w:spacing w:line="360" w:lineRule="auto"/>
        <w:ind w:firstLine="484" w:firstLineChars="202"/>
        <w:jc w:val="left"/>
        <w:rPr>
          <w:sz w:val="24"/>
          <w:szCs w:val="32"/>
        </w:rPr>
      </w:pPr>
      <w:r>
        <w:rPr>
          <w:rFonts w:hint="eastAsia"/>
          <w:sz w:val="24"/>
          <w:szCs w:val="32"/>
        </w:rPr>
        <w:t>基于结算清单质控引擎，开展对病例的结算清单数据进行质控处理，检验各个数据项是否符合规范要求。若有，系统将予以特别标注，并提供存在的错误解释或修改建议。</w:t>
      </w:r>
    </w:p>
    <w:p>
      <w:pPr>
        <w:spacing w:line="360" w:lineRule="auto"/>
        <w:ind w:firstLine="484" w:firstLineChars="202"/>
        <w:jc w:val="left"/>
        <w:rPr>
          <w:sz w:val="24"/>
          <w:szCs w:val="32"/>
        </w:rPr>
      </w:pPr>
      <w:r>
        <w:rPr>
          <w:rFonts w:hint="eastAsia" w:asciiTheme="minorEastAsia" w:hAnsiTheme="minorEastAsia"/>
          <w:sz w:val="24"/>
          <w:szCs w:val="32"/>
        </w:rPr>
        <w:t>▲</w:t>
      </w:r>
      <w:r>
        <w:rPr>
          <w:rFonts w:hint="eastAsia"/>
          <w:sz w:val="24"/>
          <w:szCs w:val="32"/>
        </w:rPr>
        <w:t>系统自动将同一病例的所有修改记录以时间轴的方式进行串联，方便工作人员回顾修改历史</w:t>
      </w:r>
      <w:r>
        <w:rPr>
          <w:rFonts w:hint="eastAsia" w:ascii="宋体" w:hAnsi="宋体" w:cs="宋体"/>
          <w:smallCaps/>
          <w:sz w:val="24"/>
        </w:rPr>
        <w:t>（提供产品界面截图示例作为证明依据）</w:t>
      </w:r>
      <w:r>
        <w:rPr>
          <w:rFonts w:hint="eastAsia"/>
          <w:sz w:val="24"/>
          <w:szCs w:val="32"/>
        </w:rPr>
        <w:t>。</w:t>
      </w:r>
    </w:p>
    <w:p>
      <w:pPr>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6.3.3.3质控问题汇总</w:t>
      </w:r>
    </w:p>
    <w:p>
      <w:pPr>
        <w:spacing w:line="360" w:lineRule="auto"/>
        <w:ind w:firstLine="484" w:firstLineChars="202"/>
        <w:jc w:val="left"/>
        <w:rPr>
          <w:sz w:val="24"/>
          <w:szCs w:val="32"/>
        </w:rPr>
      </w:pPr>
      <w:r>
        <w:rPr>
          <w:rFonts w:hint="eastAsia"/>
          <w:sz w:val="24"/>
          <w:szCs w:val="32"/>
        </w:rPr>
        <w:t>将质控审核过程中发现的所有质控问题进行汇总和记录。管理人员看随时查看质控问题列表，包括问题的描述、所涉及的结算清单、质控规则等，助力提升发现结算清单质控问题，及时跟踪予以解决。</w:t>
      </w:r>
    </w:p>
    <w:p>
      <w:pPr>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6.3.3.4清单归档</w:t>
      </w:r>
    </w:p>
    <w:p>
      <w:pPr>
        <w:spacing w:line="360" w:lineRule="auto"/>
        <w:ind w:firstLine="484" w:firstLineChars="202"/>
        <w:jc w:val="left"/>
        <w:rPr>
          <w:sz w:val="24"/>
          <w:szCs w:val="32"/>
        </w:rPr>
      </w:pPr>
      <w:r>
        <w:rPr>
          <w:rFonts w:hint="eastAsia"/>
          <w:sz w:val="24"/>
          <w:szCs w:val="32"/>
        </w:rPr>
        <w:t>将所有成功通过质控的结算清单数据进行统一归档保存，方便对信息的查询，以及后续的数据分析、审计和证据保全等。</w:t>
      </w:r>
    </w:p>
    <w:p>
      <w:pPr>
        <w:pStyle w:val="4"/>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6.3.4结算清单上传</w:t>
      </w:r>
      <w:r>
        <w:rPr>
          <w:rFonts w:hint="eastAsia" w:cs="notosanscjksc" w:asciiTheme="minorHAnsi" w:hAnsiTheme="minorHAnsi" w:eastAsiaTheme="minorEastAsia"/>
          <w:b/>
          <w:bCs/>
          <w:color w:val="auto"/>
          <w:kern w:val="2"/>
          <w:sz w:val="24"/>
          <w:szCs w:val="24"/>
          <w:lang w:val="en-US" w:eastAsia="zh-CN" w:bidi="ar-SA"/>
        </w:rPr>
        <w:tab/>
      </w:r>
    </w:p>
    <w:p>
      <w:pPr>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6.3.4.1结算清单上传</w:t>
      </w:r>
    </w:p>
    <w:p>
      <w:pPr>
        <w:spacing w:line="360" w:lineRule="auto"/>
        <w:ind w:firstLine="484" w:firstLineChars="202"/>
        <w:jc w:val="left"/>
        <w:rPr>
          <w:sz w:val="24"/>
          <w:szCs w:val="32"/>
        </w:rPr>
      </w:pPr>
      <w:r>
        <w:rPr>
          <w:rFonts w:hint="eastAsia"/>
          <w:sz w:val="24"/>
          <w:szCs w:val="32"/>
        </w:rPr>
        <w:t>支持对成功通过质控审核的结算清单进行一键上传。工作人员在进行结算清单上传前，可直接对接口进行检查，审核待上传的数据是否满足上传要求，避免重复上传。在上传结束后，可直接查看上传的状态。</w:t>
      </w:r>
    </w:p>
    <w:p>
      <w:pPr>
        <w:spacing w:line="360" w:lineRule="auto"/>
        <w:ind w:firstLine="484" w:firstLineChars="202"/>
        <w:jc w:val="left"/>
        <w:rPr>
          <w:sz w:val="24"/>
          <w:szCs w:val="32"/>
        </w:rPr>
      </w:pPr>
      <w:r>
        <w:rPr>
          <w:rFonts w:hint="eastAsia"/>
          <w:sz w:val="24"/>
          <w:szCs w:val="32"/>
        </w:rPr>
        <w:t>对于中医优势病种，提供对应的上传功能，使工作人员能够方便地整合和管理相关数据。</w:t>
      </w:r>
    </w:p>
    <w:p>
      <w:pPr>
        <w:numPr>
          <w:ilvl w:val="3"/>
          <w:numId w:val="0"/>
        </w:numPr>
        <w:snapToGrid w:val="0"/>
        <w:spacing w:line="360" w:lineRule="auto"/>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6.3.4.2上传失败分析</w:t>
      </w:r>
      <w:r>
        <w:rPr>
          <w:rFonts w:hint="eastAsia" w:cs="notosanscjksc" w:asciiTheme="minorHAnsi" w:hAnsiTheme="minorHAnsi" w:eastAsiaTheme="minorEastAsia"/>
          <w:b/>
          <w:bCs/>
          <w:color w:val="auto"/>
          <w:kern w:val="2"/>
          <w:sz w:val="24"/>
          <w:szCs w:val="24"/>
          <w:lang w:val="en-US" w:eastAsia="zh-CN" w:bidi="ar-SA"/>
        </w:rPr>
        <w:tab/>
      </w:r>
    </w:p>
    <w:p>
      <w:pPr>
        <w:spacing w:line="360" w:lineRule="auto"/>
        <w:ind w:firstLine="484" w:firstLineChars="202"/>
        <w:jc w:val="left"/>
        <w:rPr>
          <w:sz w:val="24"/>
          <w:szCs w:val="32"/>
        </w:rPr>
      </w:pPr>
      <w:r>
        <w:rPr>
          <w:rFonts w:hint="eastAsia"/>
          <w:sz w:val="24"/>
          <w:szCs w:val="32"/>
        </w:rPr>
        <w:t>对于上传失败的清单，系统应记录上传失败的详细信息，包括序号、操作上传时间，记录清单上传的时间、操作上传人员、住院流水号、上传失败原因、重新上传状态等。工作人员可通过灵活检索查询上传结果记录，了解选择病例的失败原因，并采取措施进行重新上传。</w:t>
      </w:r>
    </w:p>
    <w:p>
      <w:pPr>
        <w:numPr>
          <w:ilvl w:val="0"/>
          <w:numId w:val="0"/>
        </w:numPr>
        <w:spacing w:before="156" w:beforeLines="50" w:after="156" w:afterLines="50" w:line="360" w:lineRule="auto"/>
        <w:ind w:leftChars="0"/>
        <w:outlineLvl w:val="4"/>
        <w:rPr>
          <w:rFonts w:hint="eastAsia" w:cs="notosanscjksc" w:asciiTheme="minorHAnsi" w:hAnsiTheme="minorHAnsi" w:eastAsiaTheme="minorEastAsia"/>
          <w:b/>
          <w:bCs/>
          <w:color w:val="auto"/>
          <w:kern w:val="2"/>
          <w:sz w:val="24"/>
          <w:szCs w:val="24"/>
          <w:lang w:val="en-US" w:eastAsia="zh-CN" w:bidi="ar-SA"/>
        </w:rPr>
      </w:pPr>
      <w:r>
        <w:rPr>
          <w:rFonts w:hint="eastAsia" w:cs="notosanscjksc"/>
          <w:b/>
          <w:bCs/>
          <w:color w:val="auto"/>
          <w:kern w:val="2"/>
          <w:sz w:val="24"/>
          <w:szCs w:val="24"/>
          <w:lang w:val="en-US" w:eastAsia="zh-CN" w:bidi="ar-SA"/>
        </w:rPr>
        <w:t>6.3.5</w:t>
      </w:r>
      <w:r>
        <w:rPr>
          <w:rFonts w:hint="eastAsia" w:cs="notosanscjksc" w:asciiTheme="minorHAnsi" w:hAnsiTheme="minorHAnsi" w:eastAsiaTheme="minorEastAsia"/>
          <w:b/>
          <w:bCs/>
          <w:color w:val="auto"/>
          <w:kern w:val="2"/>
          <w:sz w:val="24"/>
          <w:szCs w:val="24"/>
          <w:lang w:val="en-US" w:eastAsia="zh-CN" w:bidi="ar-SA"/>
        </w:rPr>
        <w:t>清单日志</w:t>
      </w:r>
    </w:p>
    <w:p>
      <w:pPr>
        <w:numPr>
          <w:ilvl w:val="0"/>
          <w:numId w:val="0"/>
        </w:numPr>
        <w:spacing w:before="156" w:beforeLines="50" w:after="156" w:afterLines="50" w:line="360" w:lineRule="auto"/>
        <w:ind w:leftChars="0"/>
        <w:outlineLvl w:val="5"/>
        <w:rPr>
          <w:rFonts w:hint="eastAsia" w:cs="notosanscjksc"/>
          <w:b/>
          <w:bCs/>
          <w:color w:val="auto"/>
          <w:kern w:val="2"/>
          <w:sz w:val="24"/>
          <w:szCs w:val="24"/>
          <w:lang w:val="en-US" w:eastAsia="zh-CN" w:bidi="ar-SA"/>
        </w:rPr>
      </w:pPr>
      <w:r>
        <w:rPr>
          <w:rFonts w:hint="eastAsia" w:cs="notosanscjksc"/>
          <w:b/>
          <w:bCs/>
          <w:color w:val="auto"/>
          <w:kern w:val="2"/>
          <w:sz w:val="24"/>
          <w:szCs w:val="24"/>
          <w:lang w:val="en-US" w:eastAsia="zh-CN" w:bidi="ar-SA"/>
        </w:rPr>
        <w:t>6.3.5.1操作日志</w:t>
      </w:r>
      <w:r>
        <w:rPr>
          <w:rFonts w:hint="eastAsia" w:cs="notosanscjksc"/>
          <w:b/>
          <w:bCs/>
          <w:color w:val="auto"/>
          <w:kern w:val="2"/>
          <w:sz w:val="24"/>
          <w:szCs w:val="24"/>
          <w:lang w:val="en-US" w:eastAsia="zh-CN" w:bidi="ar-SA"/>
        </w:rPr>
        <w:tab/>
      </w:r>
    </w:p>
    <w:p>
      <w:pPr>
        <w:spacing w:line="360" w:lineRule="auto"/>
        <w:ind w:firstLine="484" w:firstLineChars="202"/>
        <w:jc w:val="left"/>
        <w:rPr>
          <w:sz w:val="24"/>
          <w:szCs w:val="32"/>
        </w:rPr>
      </w:pPr>
      <w:r>
        <w:rPr>
          <w:rFonts w:hint="eastAsia"/>
          <w:sz w:val="24"/>
          <w:szCs w:val="32"/>
        </w:rPr>
        <w:t>提供系统的操作日志信息，包括操作行为、时间、人员等，自动记录工作人员的各项操作动作，并将其存储在操作日志中，有助于追踪系统中的操作历史，提供安全审计和故障排查的依据。</w:t>
      </w:r>
    </w:p>
    <w:p>
      <w:pPr>
        <w:numPr>
          <w:ilvl w:val="3"/>
          <w:numId w:val="0"/>
        </w:numPr>
        <w:snapToGrid w:val="0"/>
        <w:spacing w:line="360" w:lineRule="auto"/>
        <w:ind w:left="-13" w:leftChars="0"/>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6.3.5.2同步数据日志</w:t>
      </w:r>
      <w:r>
        <w:rPr>
          <w:rFonts w:hint="eastAsia" w:cs="notosanscjksc" w:asciiTheme="minorHAnsi" w:hAnsiTheme="minorHAnsi" w:eastAsiaTheme="minorEastAsia"/>
          <w:b/>
          <w:bCs/>
          <w:color w:val="auto"/>
          <w:kern w:val="2"/>
          <w:sz w:val="24"/>
          <w:szCs w:val="24"/>
          <w:lang w:val="en-US" w:eastAsia="zh-CN" w:bidi="ar-SA"/>
        </w:rPr>
        <w:tab/>
      </w:r>
    </w:p>
    <w:p>
      <w:pPr>
        <w:spacing w:line="360" w:lineRule="auto"/>
        <w:ind w:firstLine="484" w:firstLineChars="202"/>
        <w:jc w:val="left"/>
        <w:rPr>
          <w:sz w:val="24"/>
          <w:szCs w:val="32"/>
        </w:rPr>
      </w:pPr>
      <w:r>
        <w:rPr>
          <w:rFonts w:hint="eastAsia"/>
          <w:sz w:val="24"/>
          <w:szCs w:val="32"/>
        </w:rPr>
        <w:t>提供记录结算清单数据同步过程中的日志信息，包括数据同步的时间、源数据和目标数据等，有助于追踪数据同步的过程和结果，提供数据一致性和完整性的保证。</w:t>
      </w:r>
    </w:p>
    <w:p>
      <w:pPr>
        <w:numPr>
          <w:ilvl w:val="3"/>
          <w:numId w:val="0"/>
        </w:numPr>
        <w:snapToGrid w:val="0"/>
        <w:spacing w:line="360" w:lineRule="auto"/>
        <w:ind w:left="-13" w:leftChars="0"/>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6.3.5.3调用质控日志</w:t>
      </w:r>
      <w:r>
        <w:rPr>
          <w:rFonts w:hint="eastAsia" w:cs="notosanscjksc" w:asciiTheme="minorHAnsi" w:hAnsiTheme="minorHAnsi" w:eastAsiaTheme="minorEastAsia"/>
          <w:b/>
          <w:bCs/>
          <w:color w:val="auto"/>
          <w:kern w:val="2"/>
          <w:sz w:val="24"/>
          <w:szCs w:val="24"/>
          <w:lang w:val="en-US" w:eastAsia="zh-CN" w:bidi="ar-SA"/>
        </w:rPr>
        <w:tab/>
      </w:r>
    </w:p>
    <w:p>
      <w:pPr>
        <w:spacing w:line="360" w:lineRule="auto"/>
        <w:ind w:firstLine="484" w:firstLineChars="202"/>
        <w:jc w:val="left"/>
        <w:rPr>
          <w:sz w:val="24"/>
          <w:szCs w:val="32"/>
        </w:rPr>
      </w:pPr>
      <w:r>
        <w:rPr>
          <w:rFonts w:hint="eastAsia"/>
          <w:sz w:val="24"/>
          <w:szCs w:val="32"/>
        </w:rPr>
        <w:t>提供记录质控过程中的操作日志和审批信息，包括质控操作的时间、人员等信息等，有助于保证质控活动的可追溯性和透明度。</w:t>
      </w:r>
    </w:p>
    <w:p>
      <w:pPr>
        <w:numPr>
          <w:ilvl w:val="3"/>
          <w:numId w:val="0"/>
        </w:numPr>
        <w:snapToGrid w:val="0"/>
        <w:spacing w:line="360" w:lineRule="auto"/>
        <w:ind w:left="-13" w:leftChars="0"/>
        <w:rPr>
          <w:rFonts w:hint="eastAsia" w:cs="notosanscjksc" w:asciiTheme="minorHAnsi" w:hAnsiTheme="minorHAnsi" w:eastAsiaTheme="minorEastAsia"/>
          <w:b/>
          <w:bCs/>
          <w:color w:val="auto"/>
          <w:kern w:val="2"/>
          <w:sz w:val="24"/>
          <w:szCs w:val="24"/>
          <w:lang w:val="en-US" w:eastAsia="zh-CN" w:bidi="ar-SA"/>
        </w:rPr>
      </w:pPr>
      <w:r>
        <w:rPr>
          <w:rFonts w:hint="eastAsia" w:cs="notosanscjksc" w:asciiTheme="minorHAnsi" w:hAnsiTheme="minorHAnsi" w:eastAsiaTheme="minorEastAsia"/>
          <w:b/>
          <w:bCs/>
          <w:color w:val="auto"/>
          <w:kern w:val="2"/>
          <w:sz w:val="24"/>
          <w:szCs w:val="24"/>
          <w:lang w:val="en-US" w:eastAsia="zh-CN" w:bidi="ar-SA"/>
        </w:rPr>
        <w:t>6.3.5.4上报日志</w:t>
      </w:r>
      <w:r>
        <w:rPr>
          <w:rFonts w:hint="eastAsia" w:cs="notosanscjksc" w:asciiTheme="minorHAnsi" w:hAnsiTheme="minorHAnsi" w:eastAsiaTheme="minorEastAsia"/>
          <w:b/>
          <w:bCs/>
          <w:color w:val="auto"/>
          <w:kern w:val="2"/>
          <w:sz w:val="24"/>
          <w:szCs w:val="24"/>
          <w:lang w:val="en-US" w:eastAsia="zh-CN" w:bidi="ar-SA"/>
        </w:rPr>
        <w:tab/>
      </w:r>
    </w:p>
    <w:p>
      <w:pPr>
        <w:spacing w:line="360" w:lineRule="auto"/>
        <w:ind w:firstLine="484" w:firstLineChars="202"/>
        <w:jc w:val="left"/>
        <w:rPr>
          <w:rFonts w:hint="eastAsia"/>
          <w:sz w:val="24"/>
          <w:szCs w:val="32"/>
        </w:rPr>
      </w:pPr>
      <w:r>
        <w:rPr>
          <w:rFonts w:hint="eastAsia"/>
          <w:sz w:val="24"/>
          <w:szCs w:val="32"/>
        </w:rPr>
        <w:t>提供记录日志上报过程中的信息，包括日志上报的时间、来源等，有助于跟踪上报任务的执行情况，提供数据传输的可追溯性和可靠性保证。</w:t>
      </w:r>
    </w:p>
    <w:p>
      <w:pPr>
        <w:spacing w:line="360" w:lineRule="auto"/>
        <w:jc w:val="left"/>
        <w:rPr>
          <w:rFonts w:hint="eastAsia" w:cs="notosanscjksc" w:asciiTheme="minorHAnsi" w:hAnsiTheme="minorHAnsi" w:eastAsiaTheme="minorEastAsia"/>
          <w:b/>
          <w:bCs/>
          <w:color w:val="auto"/>
          <w:kern w:val="2"/>
          <w:sz w:val="24"/>
          <w:szCs w:val="24"/>
          <w:lang w:val="en-US" w:eastAsia="zh-CN" w:bidi="ar-SA"/>
        </w:rPr>
      </w:pPr>
      <w:r>
        <w:rPr>
          <w:rFonts w:hint="eastAsia"/>
          <w:b/>
          <w:bCs/>
          <w:sz w:val="24"/>
          <w:szCs w:val="32"/>
          <w:lang w:val="en-US" w:eastAsia="zh-CN"/>
        </w:rPr>
        <w:t>6.4</w:t>
      </w:r>
      <w:r>
        <w:rPr>
          <w:rFonts w:hint="eastAsia" w:cs="notosanscjksc" w:asciiTheme="minorHAnsi" w:hAnsiTheme="minorHAnsi" w:eastAsiaTheme="minorEastAsia"/>
          <w:b/>
          <w:bCs/>
          <w:color w:val="auto"/>
          <w:kern w:val="2"/>
          <w:sz w:val="24"/>
          <w:szCs w:val="24"/>
          <w:lang w:val="en-US" w:eastAsia="zh-CN" w:bidi="ar-SA"/>
        </w:rPr>
        <w:t>医保智能小助手</w:t>
      </w:r>
    </w:p>
    <w:p>
      <w:pPr>
        <w:spacing w:line="360" w:lineRule="auto"/>
        <w:ind w:firstLine="484" w:firstLineChars="202"/>
        <w:jc w:val="left"/>
        <w:rPr>
          <w:sz w:val="24"/>
          <w:szCs w:val="32"/>
        </w:rPr>
      </w:pPr>
      <w:r>
        <w:rPr>
          <w:rFonts w:hint="eastAsia" w:asciiTheme="minorEastAsia" w:hAnsiTheme="minorEastAsia"/>
          <w:sz w:val="24"/>
          <w:szCs w:val="32"/>
        </w:rPr>
        <w:t>▲</w:t>
      </w:r>
      <w:r>
        <w:rPr>
          <w:rFonts w:hint="eastAsia"/>
          <w:sz w:val="24"/>
          <w:szCs w:val="32"/>
        </w:rPr>
        <w:t>要求提供移动端患者医保服务（医保智能化助手），可为患者提供各项医保智能咨询服务，实时响应患者的医保政策咨询需求，精准解读最新医保规定</w:t>
      </w:r>
      <w:r>
        <w:rPr>
          <w:rFonts w:hint="eastAsia" w:ascii="宋体" w:hAnsi="宋体" w:cs="宋体"/>
          <w:smallCaps/>
          <w:sz w:val="24"/>
        </w:rPr>
        <w:t>（提供产品界面截图示例作为证明依据）</w:t>
      </w:r>
      <w:r>
        <w:rPr>
          <w:rFonts w:hint="eastAsia"/>
          <w:sz w:val="24"/>
          <w:szCs w:val="32"/>
        </w:rPr>
        <w:t>）。</w:t>
      </w:r>
    </w:p>
    <w:p>
      <w:pPr>
        <w:spacing w:line="360" w:lineRule="auto"/>
        <w:ind w:firstLine="484" w:firstLineChars="202"/>
        <w:jc w:val="left"/>
        <w:rPr>
          <w:sz w:val="24"/>
          <w:szCs w:val="32"/>
        </w:rPr>
      </w:pPr>
      <w:r>
        <w:rPr>
          <w:rFonts w:hint="eastAsia"/>
          <w:sz w:val="24"/>
          <w:szCs w:val="32"/>
        </w:rPr>
        <w:t>同时针对门特（门诊特殊病种）待遇准入条件及医保药品目录、医疗服务项目目录、医用耗材目录等，提供权威、便捷的在线查询服务。</w:t>
      </w:r>
    </w:p>
    <w:p>
      <w:pPr>
        <w:spacing w:line="360" w:lineRule="auto"/>
        <w:jc w:val="left"/>
        <w:rPr>
          <w:rFonts w:hint="eastAsia"/>
          <w:b/>
          <w:bCs/>
          <w:sz w:val="24"/>
          <w:szCs w:val="32"/>
          <w:lang w:val="en-US" w:eastAsia="zh-CN"/>
        </w:rPr>
      </w:pPr>
      <w:r>
        <w:rPr>
          <w:rFonts w:hint="eastAsia"/>
          <w:b/>
          <w:bCs/>
          <w:sz w:val="24"/>
          <w:szCs w:val="32"/>
          <w:lang w:val="en-US" w:eastAsia="zh-CN"/>
        </w:rPr>
        <w:t>6.5基础管理</w:t>
      </w:r>
    </w:p>
    <w:p>
      <w:pPr>
        <w:spacing w:line="360" w:lineRule="auto"/>
        <w:jc w:val="left"/>
        <w:rPr>
          <w:rFonts w:hint="eastAsia"/>
          <w:b/>
          <w:bCs/>
          <w:sz w:val="24"/>
          <w:szCs w:val="32"/>
          <w:lang w:val="en-US" w:eastAsia="zh-CN"/>
        </w:rPr>
      </w:pPr>
      <w:bookmarkStart w:id="9" w:name="_Toc1401323203"/>
      <w:r>
        <w:rPr>
          <w:rFonts w:hint="eastAsia"/>
          <w:b/>
          <w:bCs/>
          <w:sz w:val="24"/>
          <w:szCs w:val="32"/>
          <w:lang w:val="en-US" w:eastAsia="zh-CN"/>
        </w:rPr>
        <w:t>6.5.1医保字典管理</w:t>
      </w:r>
      <w:bookmarkEnd w:id="9"/>
    </w:p>
    <w:p>
      <w:pPr>
        <w:numPr>
          <w:ilvl w:val="0"/>
          <w:numId w:val="0"/>
        </w:numPr>
        <w:spacing w:line="360" w:lineRule="auto"/>
        <w:jc w:val="left"/>
        <w:rPr>
          <w:b/>
          <w:bCs/>
          <w:sz w:val="24"/>
          <w:szCs w:val="32"/>
        </w:rPr>
      </w:pPr>
      <w:r>
        <w:rPr>
          <w:rFonts w:hint="eastAsia"/>
          <w:b/>
          <w:bCs/>
          <w:sz w:val="24"/>
          <w:szCs w:val="32"/>
          <w:lang w:val="en-US" w:eastAsia="zh-CN"/>
        </w:rPr>
        <w:t>6.5.1.1</w:t>
      </w:r>
      <w:r>
        <w:rPr>
          <w:rFonts w:hint="eastAsia"/>
          <w:b/>
          <w:bCs/>
          <w:sz w:val="24"/>
          <w:szCs w:val="32"/>
        </w:rPr>
        <w:t>医保疾病诊断目录维护</w:t>
      </w:r>
    </w:p>
    <w:p>
      <w:pPr>
        <w:spacing w:line="360" w:lineRule="auto"/>
        <w:ind w:firstLine="484" w:firstLineChars="202"/>
        <w:jc w:val="left"/>
        <w:rPr>
          <w:sz w:val="24"/>
          <w:szCs w:val="32"/>
        </w:rPr>
      </w:pPr>
      <w:r>
        <w:rPr>
          <w:rFonts w:hint="eastAsia"/>
          <w:sz w:val="24"/>
          <w:szCs w:val="32"/>
        </w:rPr>
        <w:t>对医保系统中的疾病诊断目录进行统一管理维护，管理员可以添加、编辑和删除疾病诊断码，包括疾病名称、ICD编码等。</w:t>
      </w:r>
    </w:p>
    <w:p>
      <w:pPr>
        <w:numPr>
          <w:ilvl w:val="0"/>
          <w:numId w:val="0"/>
        </w:numPr>
        <w:spacing w:line="360" w:lineRule="auto"/>
        <w:jc w:val="left"/>
        <w:rPr>
          <w:b/>
          <w:bCs/>
          <w:sz w:val="24"/>
          <w:szCs w:val="32"/>
        </w:rPr>
      </w:pPr>
      <w:r>
        <w:rPr>
          <w:rFonts w:hint="eastAsia"/>
          <w:b/>
          <w:bCs/>
          <w:sz w:val="24"/>
          <w:szCs w:val="32"/>
          <w:lang w:val="en-US" w:eastAsia="zh-CN"/>
        </w:rPr>
        <w:t>6.5.1.2</w:t>
      </w:r>
      <w:r>
        <w:rPr>
          <w:rFonts w:hint="eastAsia"/>
          <w:b/>
          <w:bCs/>
          <w:sz w:val="24"/>
          <w:szCs w:val="32"/>
        </w:rPr>
        <w:t>医保手术操作目录维护</w:t>
      </w:r>
      <w:r>
        <w:rPr>
          <w:rFonts w:hint="eastAsia"/>
          <w:b/>
          <w:bCs/>
          <w:sz w:val="24"/>
          <w:szCs w:val="32"/>
        </w:rPr>
        <w:tab/>
      </w:r>
    </w:p>
    <w:p>
      <w:pPr>
        <w:spacing w:line="360" w:lineRule="auto"/>
        <w:ind w:firstLine="484" w:firstLineChars="202"/>
        <w:jc w:val="left"/>
        <w:rPr>
          <w:sz w:val="24"/>
          <w:szCs w:val="32"/>
        </w:rPr>
      </w:pPr>
      <w:r>
        <w:rPr>
          <w:rFonts w:hint="eastAsia"/>
          <w:sz w:val="24"/>
          <w:szCs w:val="32"/>
        </w:rPr>
        <w:t>对医保系统中的手术操作目录进行统一管理维护，管理员可以添加、编辑和删除手术操作码，包括手术名称、操作码、费用等</w:t>
      </w:r>
    </w:p>
    <w:p>
      <w:pPr>
        <w:numPr>
          <w:ilvl w:val="0"/>
          <w:numId w:val="0"/>
        </w:numPr>
        <w:spacing w:line="360" w:lineRule="auto"/>
        <w:jc w:val="left"/>
        <w:rPr>
          <w:b/>
          <w:bCs/>
          <w:sz w:val="24"/>
          <w:szCs w:val="32"/>
        </w:rPr>
      </w:pPr>
      <w:r>
        <w:rPr>
          <w:rFonts w:hint="eastAsia"/>
          <w:b/>
          <w:bCs/>
          <w:sz w:val="24"/>
          <w:szCs w:val="32"/>
          <w:lang w:val="en-US" w:eastAsia="zh-CN"/>
        </w:rPr>
        <w:t>6.5.1.3</w:t>
      </w:r>
      <w:r>
        <w:rPr>
          <w:rFonts w:hint="eastAsia"/>
          <w:b/>
          <w:bCs/>
          <w:sz w:val="24"/>
          <w:szCs w:val="32"/>
        </w:rPr>
        <w:t>医保药品目录维护</w:t>
      </w:r>
      <w:r>
        <w:rPr>
          <w:rFonts w:hint="eastAsia"/>
          <w:b/>
          <w:bCs/>
          <w:sz w:val="24"/>
          <w:szCs w:val="32"/>
        </w:rPr>
        <w:tab/>
      </w:r>
    </w:p>
    <w:p>
      <w:pPr>
        <w:spacing w:line="360" w:lineRule="auto"/>
        <w:ind w:firstLine="484" w:firstLineChars="202"/>
        <w:jc w:val="left"/>
        <w:rPr>
          <w:sz w:val="24"/>
          <w:szCs w:val="32"/>
        </w:rPr>
      </w:pPr>
      <w:r>
        <w:rPr>
          <w:rFonts w:hint="eastAsia"/>
          <w:sz w:val="24"/>
          <w:szCs w:val="32"/>
        </w:rPr>
        <w:t>对医保系统中的药品目录进行统一管理维护，管理员可以添加、编辑和删除药品信息，包括药品名称、编码、剂型、规格等；同时支持药品分类的设定，方便根据不同的药品类型进行管理和查询。</w:t>
      </w:r>
    </w:p>
    <w:p>
      <w:pPr>
        <w:numPr>
          <w:ilvl w:val="0"/>
          <w:numId w:val="0"/>
        </w:numPr>
        <w:spacing w:line="360" w:lineRule="auto"/>
        <w:jc w:val="left"/>
        <w:rPr>
          <w:b/>
          <w:bCs/>
          <w:sz w:val="24"/>
          <w:szCs w:val="32"/>
        </w:rPr>
      </w:pPr>
      <w:r>
        <w:rPr>
          <w:rFonts w:hint="eastAsia"/>
          <w:b/>
          <w:bCs/>
          <w:sz w:val="24"/>
          <w:szCs w:val="32"/>
          <w:lang w:val="en-US" w:eastAsia="zh-CN"/>
        </w:rPr>
        <w:t>6.1.5.4</w:t>
      </w:r>
      <w:r>
        <w:rPr>
          <w:rFonts w:hint="eastAsia"/>
          <w:b/>
          <w:bCs/>
          <w:sz w:val="24"/>
          <w:szCs w:val="32"/>
        </w:rPr>
        <w:t>医疗服务项目维护</w:t>
      </w:r>
      <w:r>
        <w:rPr>
          <w:rFonts w:hint="eastAsia"/>
          <w:b/>
          <w:bCs/>
          <w:sz w:val="24"/>
          <w:szCs w:val="32"/>
        </w:rPr>
        <w:tab/>
      </w:r>
    </w:p>
    <w:p>
      <w:pPr>
        <w:spacing w:line="360" w:lineRule="auto"/>
        <w:ind w:firstLine="484" w:firstLineChars="202"/>
        <w:jc w:val="left"/>
        <w:rPr>
          <w:sz w:val="24"/>
          <w:szCs w:val="32"/>
        </w:rPr>
      </w:pPr>
      <w:r>
        <w:rPr>
          <w:rFonts w:hint="eastAsia"/>
          <w:sz w:val="24"/>
          <w:szCs w:val="32"/>
        </w:rPr>
        <w:t>对医保系统中的医疗服务项目进行统一管理维护，管理员可以添加、编辑和删除医疗服务项目，包括项目名称、编码、收费标准等；</w:t>
      </w:r>
    </w:p>
    <w:p>
      <w:pPr>
        <w:spacing w:line="360" w:lineRule="auto"/>
        <w:ind w:firstLine="484" w:firstLineChars="202"/>
        <w:jc w:val="left"/>
        <w:rPr>
          <w:sz w:val="24"/>
          <w:szCs w:val="32"/>
        </w:rPr>
      </w:pPr>
      <w:r>
        <w:rPr>
          <w:rFonts w:hint="eastAsia"/>
          <w:sz w:val="24"/>
          <w:szCs w:val="32"/>
        </w:rPr>
        <w:t>同时支持项目分类的设定，方便按照不同的服务类型进行管理和查询</w:t>
      </w:r>
    </w:p>
    <w:p>
      <w:pPr>
        <w:numPr>
          <w:ilvl w:val="0"/>
          <w:numId w:val="0"/>
        </w:numPr>
        <w:spacing w:line="360" w:lineRule="auto"/>
        <w:jc w:val="left"/>
        <w:rPr>
          <w:rFonts w:hint="eastAsia"/>
          <w:b/>
          <w:bCs/>
          <w:sz w:val="24"/>
          <w:szCs w:val="32"/>
          <w:lang w:val="en-US" w:eastAsia="zh-CN"/>
        </w:rPr>
      </w:pPr>
      <w:bookmarkStart w:id="10" w:name="_Toc585916172"/>
      <w:r>
        <w:rPr>
          <w:rFonts w:hint="eastAsia"/>
          <w:b/>
          <w:bCs/>
          <w:sz w:val="24"/>
          <w:szCs w:val="32"/>
          <w:lang w:val="en-US" w:eastAsia="zh-CN"/>
        </w:rPr>
        <w:t>6.5.2院内字典与映射</w:t>
      </w:r>
      <w:bookmarkEnd w:id="10"/>
    </w:p>
    <w:p>
      <w:pPr>
        <w:numPr>
          <w:ilvl w:val="0"/>
          <w:numId w:val="0"/>
        </w:numPr>
        <w:snapToGrid w:val="0"/>
        <w:spacing w:line="360" w:lineRule="auto"/>
        <w:rPr>
          <w:rFonts w:ascii="宋体" w:hAnsi="宋体" w:eastAsia="宋体" w:cs="宋体"/>
          <w:b/>
          <w:bCs/>
          <w:sz w:val="24"/>
        </w:rPr>
      </w:pPr>
      <w:r>
        <w:rPr>
          <w:rFonts w:hint="eastAsia"/>
          <w:b/>
          <w:bCs/>
          <w:sz w:val="24"/>
          <w:szCs w:val="32"/>
          <w:lang w:val="en-US" w:eastAsia="zh-CN"/>
        </w:rPr>
        <w:t>6.5.2.1ICD10编码映射管理</w:t>
      </w:r>
      <w:r>
        <w:rPr>
          <w:rFonts w:hint="eastAsia" w:ascii="宋体" w:hAnsi="宋体" w:eastAsia="宋体" w:cs="宋体"/>
          <w:b/>
          <w:bCs/>
          <w:sz w:val="24"/>
        </w:rPr>
        <w:tab/>
      </w:r>
    </w:p>
    <w:p>
      <w:pPr>
        <w:snapToGrid w:val="0"/>
        <w:spacing w:line="360" w:lineRule="auto"/>
        <w:ind w:firstLine="424" w:firstLineChars="177"/>
        <w:rPr>
          <w:rFonts w:ascii="宋体" w:hAnsi="宋体" w:eastAsia="宋体" w:cs="宋体"/>
          <w:sz w:val="24"/>
        </w:rPr>
      </w:pPr>
      <w:r>
        <w:rPr>
          <w:rFonts w:hint="eastAsia" w:ascii="宋体" w:hAnsi="宋体" w:eastAsia="宋体" w:cs="宋体"/>
          <w:sz w:val="24"/>
        </w:rPr>
        <w:t>实现对医保版以及其他版本中ICD10信息的管理以及映射关系，具体包括：</w:t>
      </w:r>
    </w:p>
    <w:p>
      <w:pPr>
        <w:snapToGrid w:val="0"/>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ICD10医保版：根据政策内容，内置最新的ICD10医保版信息，包括版本推出的年份、版本号、病例诊断编码、诊断名称、诊断编码版本、章、章代码范围等，可对已有信息进行查看、修改、删除操作；</w:t>
      </w:r>
    </w:p>
    <w:p>
      <w:pPr>
        <w:snapToGrid w:val="0"/>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ICD10其他版本：对ICD10其他版本，如国临版、地方版等进行统一管理，包括年份、版本、诊断编码、诊断名称、诊断编码版本等；</w:t>
      </w:r>
    </w:p>
    <w:p>
      <w:pPr>
        <w:snapToGrid w:val="0"/>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ICD10编码映射：创建医保版与其他版本之间的映射关系，借助改映射管理，可快速转换不同编码版本的诊断信息，提高医保数据编码的统一性和一致性；</w:t>
      </w:r>
    </w:p>
    <w:p>
      <w:pPr>
        <w:snapToGrid w:val="0"/>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ICD10编码映射管理：可对已有的映射关系进行查询、添加、编辑、删除等各项操作；</w:t>
      </w:r>
    </w:p>
    <w:p>
      <w:pPr>
        <w:numPr>
          <w:ilvl w:val="0"/>
          <w:numId w:val="0"/>
        </w:numPr>
        <w:snapToGrid w:val="0"/>
        <w:spacing w:line="360" w:lineRule="auto"/>
        <w:rPr>
          <w:rFonts w:hint="eastAsia"/>
          <w:b/>
          <w:bCs/>
          <w:sz w:val="24"/>
          <w:szCs w:val="32"/>
          <w:lang w:val="en-US" w:eastAsia="zh-CN"/>
        </w:rPr>
      </w:pPr>
      <w:r>
        <w:rPr>
          <w:rFonts w:hint="eastAsia"/>
          <w:b/>
          <w:bCs/>
          <w:sz w:val="24"/>
          <w:szCs w:val="32"/>
          <w:lang w:val="en-US" w:eastAsia="zh-CN"/>
        </w:rPr>
        <w:t>6.5.2.2ICD9编码映射管理</w:t>
      </w:r>
      <w:r>
        <w:rPr>
          <w:rFonts w:hint="eastAsia"/>
          <w:b/>
          <w:bCs/>
          <w:sz w:val="24"/>
          <w:szCs w:val="32"/>
          <w:lang w:val="en-US" w:eastAsia="zh-CN"/>
        </w:rPr>
        <w:tab/>
      </w:r>
    </w:p>
    <w:p>
      <w:pPr>
        <w:snapToGrid w:val="0"/>
        <w:spacing w:line="360" w:lineRule="auto"/>
        <w:ind w:firstLine="424" w:firstLineChars="177"/>
        <w:rPr>
          <w:rFonts w:ascii="宋体" w:hAnsi="宋体" w:eastAsia="宋体" w:cs="宋体"/>
          <w:sz w:val="24"/>
        </w:rPr>
      </w:pPr>
      <w:r>
        <w:rPr>
          <w:rFonts w:hint="eastAsia" w:ascii="宋体" w:hAnsi="宋体" w:eastAsia="宋体" w:cs="宋体"/>
          <w:sz w:val="24"/>
        </w:rPr>
        <w:t>实现对医保版以及国临版中ICD9信息的管理以及映射关系，要求：</w:t>
      </w:r>
    </w:p>
    <w:p>
      <w:pPr>
        <w:snapToGrid w:val="0"/>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ICD9医保版：根据政策内容，内置最新的ICD9医保版信息，包括版本推出的年份、版本号、病例手术操作代码、手术操作名称、手术操作编码版本、章、章的名称、类目等，可对已有信息进行查看、修改、删除操作；</w:t>
      </w:r>
    </w:p>
    <w:p>
      <w:pPr>
        <w:snapToGrid w:val="0"/>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ICD10其他版本：对ICD9其他版本，如国临版、地方版等进行统一管理，包括年份、版本、手术操作代码、手术操作名称、手术操作编码版本等；</w:t>
      </w:r>
    </w:p>
    <w:p>
      <w:pPr>
        <w:snapToGrid w:val="0"/>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ICD9编码映射：创建医保版与其他版本之间的映射关系，借助改映射管理，可快速转换不同编码版本的诊断信息，提高医保数据编码的统一性和一致性；</w:t>
      </w:r>
    </w:p>
    <w:p>
      <w:pPr>
        <w:snapToGrid w:val="0"/>
        <w:spacing w:line="360" w:lineRule="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可对已有的映射关系进行查询、添加、编辑、删除等各项操作；</w:t>
      </w:r>
    </w:p>
    <w:p>
      <w:pPr>
        <w:numPr>
          <w:ilvl w:val="0"/>
          <w:numId w:val="0"/>
        </w:numPr>
        <w:snapToGrid w:val="0"/>
        <w:spacing w:line="360" w:lineRule="auto"/>
        <w:rPr>
          <w:rFonts w:hint="eastAsia"/>
          <w:b/>
          <w:bCs/>
          <w:sz w:val="24"/>
          <w:szCs w:val="32"/>
          <w:lang w:val="en-US" w:eastAsia="zh-CN"/>
        </w:rPr>
      </w:pPr>
      <w:r>
        <w:rPr>
          <w:rFonts w:hint="eastAsia"/>
          <w:b/>
          <w:bCs/>
          <w:sz w:val="24"/>
          <w:szCs w:val="32"/>
          <w:lang w:val="en-US" w:eastAsia="zh-CN"/>
        </w:rPr>
        <w:t>6.5.2.3医院药品目录医保对照</w:t>
      </w:r>
      <w:r>
        <w:rPr>
          <w:rFonts w:hint="eastAsia"/>
          <w:b/>
          <w:bCs/>
          <w:sz w:val="24"/>
          <w:szCs w:val="32"/>
          <w:lang w:val="en-US" w:eastAsia="zh-CN"/>
        </w:rPr>
        <w:tab/>
      </w:r>
    </w:p>
    <w:p>
      <w:pPr>
        <w:snapToGrid w:val="0"/>
        <w:spacing w:line="360" w:lineRule="auto"/>
        <w:ind w:firstLine="424" w:firstLineChars="177"/>
        <w:rPr>
          <w:rFonts w:ascii="宋体" w:hAnsi="宋体" w:eastAsia="宋体" w:cs="宋体"/>
          <w:sz w:val="24"/>
        </w:rPr>
      </w:pPr>
      <w:r>
        <w:rPr>
          <w:rFonts w:hint="eastAsia" w:ascii="宋体" w:hAnsi="宋体" w:eastAsia="宋体" w:cs="宋体"/>
          <w:sz w:val="24"/>
        </w:rPr>
        <w:t>实现对医院药品目录与医保目录之间的对照关系，管理员可以为每个药品在医保目录中设定对应的医保编码和药品标识，以便进行多种类型的医保费用计算。</w:t>
      </w:r>
    </w:p>
    <w:p>
      <w:pPr>
        <w:numPr>
          <w:ilvl w:val="0"/>
          <w:numId w:val="0"/>
        </w:numPr>
        <w:snapToGrid w:val="0"/>
        <w:spacing w:line="360" w:lineRule="auto"/>
        <w:rPr>
          <w:rFonts w:hint="eastAsia"/>
          <w:b/>
          <w:bCs/>
          <w:sz w:val="24"/>
          <w:szCs w:val="32"/>
          <w:lang w:val="en-US" w:eastAsia="zh-CN"/>
        </w:rPr>
      </w:pPr>
      <w:r>
        <w:rPr>
          <w:rFonts w:hint="eastAsia"/>
          <w:b/>
          <w:bCs/>
          <w:sz w:val="24"/>
          <w:szCs w:val="32"/>
          <w:lang w:val="en-US" w:eastAsia="zh-CN"/>
        </w:rPr>
        <w:t>6.5.2.4医院诊疗目录医保对照</w:t>
      </w:r>
    </w:p>
    <w:p>
      <w:pPr>
        <w:snapToGrid w:val="0"/>
        <w:spacing w:line="360" w:lineRule="auto"/>
        <w:ind w:firstLine="424" w:firstLineChars="177"/>
      </w:pPr>
      <w:r>
        <w:rPr>
          <w:rFonts w:hint="eastAsia" w:ascii="宋体" w:hAnsi="宋体" w:eastAsia="宋体" w:cs="宋体"/>
          <w:sz w:val="24"/>
        </w:rPr>
        <w:t>实现医院诊疗目录与医保目录之间的对照关系，管理员可以为每个诊疗项目在医保目录中设定对应的医保编码和项目标识，以便进行多种类型的医保费用计算。</w:t>
      </w:r>
    </w:p>
    <w:p>
      <w:pPr>
        <w:numPr>
          <w:ilvl w:val="0"/>
          <w:numId w:val="0"/>
        </w:numPr>
        <w:snapToGrid w:val="0"/>
        <w:spacing w:line="360" w:lineRule="auto"/>
        <w:rPr>
          <w:rFonts w:hint="eastAsia"/>
          <w:b/>
          <w:bCs/>
          <w:sz w:val="24"/>
          <w:szCs w:val="32"/>
          <w:lang w:val="en-US" w:eastAsia="zh-CN"/>
        </w:rPr>
      </w:pPr>
      <w:bookmarkStart w:id="11" w:name="_Toc1280581309"/>
      <w:r>
        <w:rPr>
          <w:rFonts w:hint="eastAsia"/>
          <w:b/>
          <w:bCs/>
          <w:sz w:val="24"/>
          <w:szCs w:val="32"/>
          <w:lang w:val="en-US" w:eastAsia="zh-CN"/>
        </w:rPr>
        <w:t>6.5.3系统管理</w:t>
      </w:r>
      <w:bookmarkEnd w:id="11"/>
    </w:p>
    <w:p>
      <w:pPr>
        <w:snapToGrid w:val="0"/>
        <w:spacing w:line="360" w:lineRule="auto"/>
        <w:ind w:firstLine="424" w:firstLineChars="177"/>
        <w:rPr>
          <w:rFonts w:hint="eastAsia" w:ascii="宋体" w:hAnsi="宋体" w:eastAsia="宋体" w:cs="宋体"/>
          <w:sz w:val="24"/>
        </w:rPr>
      </w:pPr>
      <w:r>
        <w:rPr>
          <w:rFonts w:ascii="宋体" w:hAnsi="宋体" w:eastAsia="宋体" w:cs="宋体"/>
          <w:sz w:val="24"/>
        </w:rPr>
        <w:t>提供</w:t>
      </w:r>
      <w:r>
        <w:rPr>
          <w:rFonts w:hint="eastAsia" w:ascii="宋体" w:hAnsi="宋体" w:eastAsia="宋体" w:cs="宋体"/>
          <w:sz w:val="24"/>
        </w:rPr>
        <w:t>系统基础管理服务，包括用户管理、角色管理、菜单管理、科室管理等。</w:t>
      </w:r>
    </w:p>
    <w:p>
      <w:pPr>
        <w:snapToGrid w:val="0"/>
        <w:spacing w:line="360" w:lineRule="auto"/>
        <w:rPr>
          <w:rFonts w:hint="default" w:ascii="宋体" w:hAnsi="宋体" w:eastAsia="宋体" w:cs="宋体"/>
          <w:sz w:val="24"/>
          <w:lang w:val="en-US" w:eastAsia="zh-CN"/>
        </w:rPr>
      </w:pPr>
    </w:p>
    <w:p>
      <w:pPr>
        <w:numPr>
          <w:ilvl w:val="0"/>
          <w:numId w:val="0"/>
        </w:numPr>
        <w:spacing w:before="156" w:beforeLines="50" w:after="156" w:afterLines="50" w:line="360" w:lineRule="auto"/>
        <w:ind w:leftChars="0"/>
        <w:outlineLvl w:val="0"/>
        <w:rPr>
          <w:b/>
          <w:bCs/>
          <w:sz w:val="36"/>
          <w:szCs w:val="36"/>
        </w:rPr>
      </w:pPr>
      <w:r>
        <w:rPr>
          <w:rFonts w:hint="eastAsia"/>
          <w:b/>
          <w:bCs/>
          <w:sz w:val="36"/>
          <w:szCs w:val="36"/>
          <w:lang w:eastAsia="zh-CN"/>
        </w:rPr>
        <w:t>四、</w:t>
      </w:r>
      <w:r>
        <w:rPr>
          <w:rFonts w:hint="eastAsia"/>
          <w:b/>
          <w:bCs/>
          <w:sz w:val="36"/>
          <w:szCs w:val="36"/>
        </w:rPr>
        <w:t>项目商务要求</w:t>
      </w:r>
    </w:p>
    <w:p>
      <w:pPr>
        <w:numPr>
          <w:ilvl w:val="0"/>
          <w:numId w:val="0"/>
        </w:numPr>
        <w:snapToGrid w:val="0"/>
        <w:spacing w:line="360" w:lineRule="auto"/>
        <w:outlineLvl w:val="1"/>
        <w:rPr>
          <w:rFonts w:hint="eastAsia"/>
          <w:b/>
          <w:bCs/>
          <w:sz w:val="24"/>
          <w:szCs w:val="32"/>
          <w:lang w:val="en-US" w:eastAsia="zh-CN"/>
        </w:rPr>
      </w:pPr>
      <w:r>
        <w:rPr>
          <w:rFonts w:hint="eastAsia"/>
          <w:b/>
          <w:bCs/>
          <w:sz w:val="24"/>
          <w:szCs w:val="32"/>
          <w:lang w:val="en-US" w:eastAsia="zh-CN"/>
        </w:rPr>
        <w:t>1、供货服务要求</w:t>
      </w:r>
    </w:p>
    <w:p>
      <w:pPr>
        <w:pStyle w:val="5"/>
        <w:spacing w:line="360" w:lineRule="auto"/>
        <w:ind w:right="33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（1）投标人必须承诺所提供产品或信息系统符合国家或行业标准，以及用户提出的有关应用需求，且不存在第三方侵权行为。</w:t>
      </w:r>
    </w:p>
    <w:p>
      <w:pPr>
        <w:pStyle w:val="5"/>
        <w:spacing w:line="360" w:lineRule="auto"/>
        <w:ind w:right="33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（2）投标人应具备本项目的建设服务能力，投入具备相应资质、经验的技术服务团队和工程师，并按照医院要求完成相应的接口改造。</w:t>
      </w:r>
    </w:p>
    <w:p>
      <w:pPr>
        <w:numPr>
          <w:ilvl w:val="0"/>
          <w:numId w:val="0"/>
        </w:numPr>
        <w:snapToGrid w:val="0"/>
        <w:spacing w:line="360" w:lineRule="auto"/>
        <w:outlineLvl w:val="1"/>
        <w:rPr>
          <w:rFonts w:hint="eastAsia"/>
          <w:b/>
          <w:bCs/>
          <w:sz w:val="24"/>
          <w:szCs w:val="32"/>
          <w:lang w:val="en-US" w:eastAsia="zh-CN"/>
        </w:rPr>
      </w:pPr>
      <w:r>
        <w:rPr>
          <w:rFonts w:hint="eastAsia"/>
          <w:b/>
          <w:bCs/>
          <w:sz w:val="24"/>
          <w:szCs w:val="32"/>
          <w:lang w:val="en-US" w:eastAsia="zh-CN"/>
        </w:rPr>
        <w:t>2、工期要求</w:t>
      </w:r>
    </w:p>
    <w:p>
      <w:pPr>
        <w:pStyle w:val="5"/>
        <w:spacing w:line="360" w:lineRule="auto"/>
        <w:ind w:right="335" w:firstLine="480" w:firstLineChars="20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合同签订后5个工作日应开展信息系统建设工作，180个工作日内应完成本项目信息系统的全部建设工作。</w:t>
      </w:r>
    </w:p>
    <w:p>
      <w:pPr>
        <w:pStyle w:val="5"/>
        <w:spacing w:line="360" w:lineRule="auto"/>
        <w:ind w:right="335"/>
        <w:jc w:val="both"/>
        <w:outlineLvl w:val="1"/>
        <w:rPr>
          <w:rFonts w:hint="eastAsia" w:ascii="宋体" w:hAnsi="宋体" w:eastAsia="宋体" w:cs="宋体"/>
          <w:kern w:val="2"/>
          <w:sz w:val="24"/>
          <w:szCs w:val="24"/>
          <w:lang w:val="en-US" w:eastAsia="zh-CN" w:bidi="ar-SA"/>
        </w:rPr>
      </w:pPr>
      <w:r>
        <w:rPr>
          <w:rFonts w:hint="eastAsia" w:cs="notosanscjksc"/>
          <w:b/>
          <w:bCs/>
          <w:kern w:val="2"/>
          <w:sz w:val="24"/>
          <w:szCs w:val="32"/>
          <w:lang w:val="en-US" w:eastAsia="zh-CN" w:bidi="ar-SA"/>
        </w:rPr>
        <w:t>3、</w:t>
      </w:r>
      <w:r>
        <w:rPr>
          <w:rFonts w:hint="eastAsia" w:cs="notosanscjksc" w:asciiTheme="minorHAnsi" w:hAnsiTheme="minorHAnsi" w:eastAsiaTheme="minorEastAsia"/>
          <w:b/>
          <w:bCs/>
          <w:kern w:val="2"/>
          <w:sz w:val="24"/>
          <w:szCs w:val="32"/>
          <w:lang w:val="en-US" w:eastAsia="zh-CN" w:bidi="ar-SA"/>
        </w:rPr>
        <w:t>交付地点</w:t>
      </w:r>
      <w:r>
        <w:rPr>
          <w:rFonts w:hint="eastAsia" w:ascii="宋体" w:hAnsi="宋体" w:eastAsia="宋体" w:cs="宋体"/>
          <w:kern w:val="2"/>
          <w:sz w:val="24"/>
          <w:szCs w:val="24"/>
          <w:lang w:val="en-US" w:eastAsia="zh-CN" w:bidi="ar-SA"/>
        </w:rPr>
        <w:t>中山大学附属第一医院惠亚医院</w:t>
      </w:r>
    </w:p>
    <w:p>
      <w:pPr>
        <w:pStyle w:val="20"/>
        <w:ind w:left="0" w:leftChars="0" w:firstLine="0" w:firstLineChars="0"/>
        <w:outlineLvl w:val="1"/>
        <w:rPr>
          <w:rFonts w:hint="eastAsia" w:cs="notosanscjksc" w:asciiTheme="minorHAnsi" w:hAnsiTheme="minorHAnsi" w:eastAsiaTheme="minorEastAsia"/>
          <w:b/>
          <w:bCs/>
          <w:kern w:val="2"/>
          <w:sz w:val="24"/>
          <w:szCs w:val="32"/>
          <w:lang w:val="en-US" w:eastAsia="zh-CN" w:bidi="ar-SA"/>
        </w:rPr>
      </w:pPr>
      <w:r>
        <w:rPr>
          <w:rFonts w:hint="eastAsia" w:cs="notosanscjksc"/>
          <w:b/>
          <w:bCs/>
          <w:kern w:val="2"/>
          <w:sz w:val="24"/>
          <w:szCs w:val="32"/>
          <w:lang w:val="en-US" w:eastAsia="zh-CN" w:bidi="ar-SA"/>
        </w:rPr>
        <w:t>4、</w:t>
      </w:r>
      <w:r>
        <w:rPr>
          <w:rFonts w:hint="eastAsia" w:cs="notosanscjksc" w:asciiTheme="minorHAnsi" w:hAnsiTheme="minorHAnsi" w:eastAsiaTheme="minorEastAsia"/>
          <w:b/>
          <w:bCs/>
          <w:kern w:val="2"/>
          <w:sz w:val="24"/>
          <w:szCs w:val="32"/>
          <w:lang w:val="en-US" w:eastAsia="zh-CN" w:bidi="ar-SA"/>
        </w:rPr>
        <w:t>验收要求</w:t>
      </w:r>
    </w:p>
    <w:p>
      <w:pPr>
        <w:pStyle w:val="5"/>
        <w:spacing w:line="360" w:lineRule="auto"/>
        <w:ind w:right="335" w:firstLine="42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中标供应商应负责在项目验收时将系统的全部有关产品说明书、原厂家安装手册、技术文件、资料、及安装、验收报告等文档汇集成册交付设备使用单位。</w:t>
      </w:r>
      <w:bookmarkStart w:id="13" w:name="_GoBack"/>
      <w:bookmarkEnd w:id="13"/>
    </w:p>
    <w:p>
      <w:pPr>
        <w:pStyle w:val="20"/>
        <w:ind w:left="0" w:leftChars="0" w:firstLine="0" w:firstLineChars="0"/>
        <w:outlineLvl w:val="1"/>
        <w:rPr>
          <w:rFonts w:hint="eastAsia" w:cs="notosanscjksc" w:asciiTheme="minorHAnsi" w:hAnsiTheme="minorHAnsi" w:eastAsiaTheme="minorEastAsia"/>
          <w:b/>
          <w:bCs/>
          <w:kern w:val="2"/>
          <w:sz w:val="24"/>
          <w:szCs w:val="32"/>
          <w:lang w:val="en-US" w:eastAsia="zh-CN" w:bidi="ar-SA"/>
        </w:rPr>
      </w:pPr>
      <w:r>
        <w:rPr>
          <w:rFonts w:hint="eastAsia" w:cs="notosanscjksc"/>
          <w:b/>
          <w:bCs/>
          <w:kern w:val="2"/>
          <w:sz w:val="24"/>
          <w:szCs w:val="32"/>
          <w:lang w:val="en-US" w:eastAsia="zh-CN" w:bidi="ar-SA"/>
        </w:rPr>
        <w:t>5、</w:t>
      </w:r>
      <w:r>
        <w:rPr>
          <w:rFonts w:hint="eastAsia" w:cs="notosanscjksc" w:asciiTheme="minorHAnsi" w:hAnsiTheme="minorHAnsi" w:eastAsiaTheme="minorEastAsia"/>
          <w:b/>
          <w:bCs/>
          <w:kern w:val="2"/>
          <w:sz w:val="24"/>
          <w:szCs w:val="32"/>
          <w:lang w:val="en-US" w:eastAsia="zh-CN" w:bidi="ar-SA"/>
        </w:rPr>
        <w:t>响应时间</w:t>
      </w:r>
    </w:p>
    <w:p>
      <w:pPr>
        <w:pStyle w:val="5"/>
        <w:spacing w:line="360" w:lineRule="auto"/>
        <w:ind w:right="335" w:firstLine="600" w:firstLineChars="25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提供7×24小时电话技术支持，软件故障报修的响应时间：1小时，若电话中无法解决，4小时内到达现场进行维护。除特殊情况外，故障排除时间不超过24小时。</w:t>
      </w:r>
    </w:p>
    <w:p>
      <w:pPr>
        <w:pStyle w:val="20"/>
        <w:ind w:left="0" w:leftChars="0" w:firstLine="0" w:firstLineChars="0"/>
        <w:outlineLvl w:val="1"/>
        <w:rPr>
          <w:rFonts w:hint="eastAsia" w:cs="notosanscjksc"/>
          <w:b/>
          <w:bCs/>
          <w:kern w:val="2"/>
          <w:sz w:val="24"/>
          <w:szCs w:val="32"/>
          <w:lang w:val="en-US" w:eastAsia="zh-CN" w:bidi="ar-SA"/>
        </w:rPr>
      </w:pPr>
      <w:r>
        <w:rPr>
          <w:rFonts w:hint="eastAsia" w:cs="notosanscjksc"/>
          <w:b/>
          <w:bCs/>
          <w:kern w:val="2"/>
          <w:sz w:val="24"/>
          <w:szCs w:val="32"/>
          <w:lang w:val="en-US" w:eastAsia="zh-CN" w:bidi="ar-SA"/>
        </w:rPr>
        <w:t>6、售后服务要求</w:t>
      </w:r>
    </w:p>
    <w:p>
      <w:pPr>
        <w:pStyle w:val="5"/>
        <w:spacing w:line="360" w:lineRule="auto"/>
        <w:ind w:right="33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（1）免费维护期期限：软件免费维护期期限为验收之日起1年</w:t>
      </w:r>
    </w:p>
    <w:p>
      <w:pPr>
        <w:pStyle w:val="20"/>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（2）质保期自双方代表在软件及设备安装调试后的验收证明文件上签字之日起计算，具体按国家或行业有关标准由买卖双方在合同中约定。维护期后，如采购人要求，中标人应长期负责有偿维护和升级。</w:t>
      </w:r>
    </w:p>
    <w:p>
      <w:pPr>
        <w:pStyle w:val="20"/>
        <w:ind w:left="0" w:leftChars="0" w:firstLine="0" w:firstLineChars="0"/>
        <w:outlineLvl w:val="1"/>
        <w:rPr>
          <w:rFonts w:hint="eastAsia" w:cs="notosanscjksc"/>
          <w:b/>
          <w:bCs/>
          <w:kern w:val="2"/>
          <w:sz w:val="24"/>
          <w:szCs w:val="32"/>
          <w:lang w:val="en-US" w:eastAsia="zh-CN" w:bidi="ar-SA"/>
        </w:rPr>
      </w:pPr>
      <w:r>
        <w:rPr>
          <w:rFonts w:hint="eastAsia" w:cs="notosanscjksc"/>
          <w:b/>
          <w:bCs/>
          <w:kern w:val="2"/>
          <w:sz w:val="24"/>
          <w:szCs w:val="32"/>
          <w:lang w:val="en-US" w:eastAsia="zh-CN" w:bidi="ar-SA"/>
        </w:rPr>
        <w:t>7、培训要求</w:t>
      </w:r>
    </w:p>
    <w:p>
      <w:pPr>
        <w:pStyle w:val="5"/>
        <w:spacing w:line="360" w:lineRule="auto"/>
        <w:ind w:right="33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 制定详细的培训方案，提供技术培训、操作培训和现场指导，完成对系统集成、开发技术及工具等在内的全部免费培训。培训方案要详细描述每次培训的具体内容、深度和时间安排。</w:t>
      </w:r>
    </w:p>
    <w:p>
      <w:pPr>
        <w:pStyle w:val="5"/>
        <w:spacing w:line="360" w:lineRule="auto"/>
        <w:ind w:right="33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 培训方式应包括技术讲课、操作示范、参观学习和其它必须的业务指导和技术咨询，确保培训人员对系统基本原理、技术特性、操作规范、运行规程、管理维护等方面获得全面了解和掌握。</w:t>
      </w:r>
    </w:p>
    <w:p>
      <w:pPr>
        <w:widowControl w:val="0"/>
        <w:spacing w:line="360" w:lineRule="auto"/>
        <w:jc w:val="both"/>
        <w:outlineLvl w:val="1"/>
        <w:rPr>
          <w:rFonts w:hint="eastAsia" w:cs="notosanscjksc"/>
          <w:b/>
          <w:bCs/>
          <w:kern w:val="2"/>
          <w:sz w:val="24"/>
          <w:szCs w:val="32"/>
          <w:lang w:val="en-US" w:eastAsia="zh-CN" w:bidi="ar-SA"/>
        </w:rPr>
      </w:pPr>
      <w:r>
        <w:rPr>
          <w:rFonts w:hint="eastAsia" w:cs="notosanscjksc"/>
          <w:b/>
          <w:bCs/>
          <w:kern w:val="2"/>
          <w:sz w:val="24"/>
          <w:szCs w:val="32"/>
          <w:lang w:val="en-US" w:eastAsia="zh-CN" w:bidi="ar-SA"/>
        </w:rPr>
        <w:t>8、</w:t>
      </w:r>
      <w:r>
        <w:rPr>
          <w:rFonts w:hint="eastAsia" w:cs="notosanscjksc" w:asciiTheme="minorHAnsi" w:hAnsiTheme="minorHAnsi" w:eastAsiaTheme="minorEastAsia"/>
          <w:b/>
          <w:bCs/>
          <w:kern w:val="2"/>
          <w:sz w:val="24"/>
          <w:szCs w:val="32"/>
          <w:lang w:val="en-US" w:eastAsia="zh-CN" w:bidi="ar-SA"/>
        </w:rPr>
        <w:t>报价要求</w:t>
      </w:r>
      <w:r>
        <w:rPr>
          <w:rFonts w:hint="eastAsia" w:cs="notosanscjksc"/>
          <w:b/>
          <w:bCs/>
          <w:kern w:val="2"/>
          <w:sz w:val="24"/>
          <w:szCs w:val="32"/>
          <w:lang w:val="en-US" w:eastAsia="zh-CN" w:bidi="ar-SA"/>
        </w:rPr>
        <w:t xml:space="preserve"> </w:t>
      </w:r>
    </w:p>
    <w:p>
      <w:pPr>
        <w:widowControl w:val="0"/>
        <w:spacing w:line="360" w:lineRule="auto"/>
        <w:jc w:val="both"/>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投标人报价中必须包括项目全部内容的费用（开发、调试、验收、税金等）。</w:t>
      </w:r>
    </w:p>
    <w:p>
      <w:pPr>
        <w:widowControl w:val="0"/>
        <w:numPr>
          <w:ilvl w:val="0"/>
          <w:numId w:val="4"/>
        </w:numPr>
        <w:spacing w:line="360" w:lineRule="auto"/>
        <w:jc w:val="both"/>
        <w:outlineLvl w:val="1"/>
        <w:rPr>
          <w:rFonts w:hint="eastAsia" w:cs="notosanscjksc" w:asciiTheme="minorHAnsi" w:hAnsiTheme="minorHAnsi" w:eastAsiaTheme="minorEastAsia"/>
          <w:b/>
          <w:bCs/>
          <w:kern w:val="2"/>
          <w:sz w:val="24"/>
          <w:szCs w:val="32"/>
          <w:lang w:val="en-US" w:eastAsia="zh-CN" w:bidi="ar-SA"/>
        </w:rPr>
      </w:pPr>
      <w:r>
        <w:rPr>
          <w:rFonts w:hint="eastAsia" w:cs="notosanscjksc" w:asciiTheme="minorHAnsi" w:hAnsiTheme="minorHAnsi" w:eastAsiaTheme="minorEastAsia"/>
          <w:b/>
          <w:bCs/>
          <w:kern w:val="2"/>
          <w:sz w:val="24"/>
          <w:szCs w:val="32"/>
          <w:lang w:val="en-US" w:eastAsia="zh-CN" w:bidi="ar-SA"/>
        </w:rPr>
        <w:t>付款方式</w:t>
      </w:r>
    </w:p>
    <w:p>
      <w:pPr>
        <w:pStyle w:val="5"/>
        <w:spacing w:line="360" w:lineRule="auto"/>
        <w:ind w:right="335"/>
        <w:jc w:val="both"/>
        <w:rPr>
          <w:rFonts w:hint="eastAsia" w:ascii="宋体" w:hAnsi="宋体" w:eastAsia="宋体" w:cs="宋体"/>
          <w:kern w:val="2"/>
          <w:sz w:val="24"/>
          <w:szCs w:val="24"/>
          <w:lang w:val="en-US" w:eastAsia="zh-CN" w:bidi="ar-SA"/>
        </w:rPr>
      </w:pPr>
      <w:bookmarkStart w:id="12" w:name="_Hlk508984413"/>
      <w:r>
        <w:rPr>
          <w:rFonts w:hint="eastAsia" w:ascii="宋体" w:hAnsi="宋体" w:eastAsia="宋体" w:cs="宋体"/>
          <w:kern w:val="2"/>
          <w:sz w:val="24"/>
          <w:szCs w:val="24"/>
          <w:lang w:val="en-US" w:eastAsia="zh-CN" w:bidi="ar-SA"/>
        </w:rPr>
        <w:t>（1）合同签订后，10个工作日内，凭投标人开具的有效发票，采购人向投标人支付合同金额的30%；</w:t>
      </w:r>
    </w:p>
    <w:p>
      <w:pPr>
        <w:pStyle w:val="5"/>
        <w:spacing w:line="360" w:lineRule="auto"/>
        <w:ind w:right="33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 项目完成实施后，经上线、试运行验收合格，10个工作日内，凭投标人开具的有效发票和验收资料文档，采购人方向投标人支付合同金额的70%。</w:t>
      </w:r>
    </w:p>
    <w:bookmarkEnd w:id="12"/>
    <w:p>
      <w:pPr>
        <w:pStyle w:val="5"/>
        <w:spacing w:line="360" w:lineRule="auto"/>
        <w:ind w:right="33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 履约保证金：</w:t>
      </w:r>
    </w:p>
    <w:p>
      <w:pPr>
        <w:pStyle w:val="5"/>
        <w:spacing w:line="360" w:lineRule="auto"/>
        <w:ind w:right="335" w:firstLine="600" w:firstLineChars="25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合同签订后，7个工作日内，投标人向采购人支付合同全款金额的5%作为项目履约保证金，履约期满后，凭汇款凭证及合同，采购人方将履约保证金全款（无息）退回投标人方银行账户。</w:t>
      </w:r>
    </w:p>
    <w:p>
      <w:pPr>
        <w:rPr>
          <w:rFonts w:hint="eastAsia" w:ascii="宋体" w:hAnsi="宋体" w:eastAsia="宋体" w:cs="宋体"/>
          <w:kern w:val="2"/>
          <w:sz w:val="24"/>
          <w:szCs w:val="24"/>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sanscjksc">
    <w:altName w:val="Calibri"/>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Noto Sans CJK JP Regular">
    <w:altName w:val="微软雅黑"/>
    <w:panose1 w:val="00000000000000000000"/>
    <w:charset w:val="00"/>
    <w:family w:val="swiss"/>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F74163"/>
    <w:multiLevelType w:val="singleLevel"/>
    <w:tmpl w:val="B2F74163"/>
    <w:lvl w:ilvl="0" w:tentative="0">
      <w:start w:val="9"/>
      <w:numFmt w:val="decimal"/>
      <w:suff w:val="nothing"/>
      <w:lvlText w:val="%1、"/>
      <w:lvlJc w:val="left"/>
    </w:lvl>
  </w:abstractNum>
  <w:abstractNum w:abstractNumId="1">
    <w:nsid w:val="198C36B3"/>
    <w:multiLevelType w:val="singleLevel"/>
    <w:tmpl w:val="198C36B3"/>
    <w:lvl w:ilvl="0" w:tentative="0">
      <w:start w:val="2"/>
      <w:numFmt w:val="chineseCounting"/>
      <w:suff w:val="nothing"/>
      <w:lvlText w:val="%1、"/>
      <w:lvlJc w:val="left"/>
      <w:rPr>
        <w:rFonts w:hint="eastAsia"/>
      </w:rPr>
    </w:lvl>
  </w:abstractNum>
  <w:abstractNum w:abstractNumId="2">
    <w:nsid w:val="27EF4413"/>
    <w:multiLevelType w:val="multilevel"/>
    <w:tmpl w:val="27EF4413"/>
    <w:lvl w:ilvl="0" w:tentative="0">
      <w:start w:val="1"/>
      <w:numFmt w:val="chineseCountingThousand"/>
      <w:suff w:val="space"/>
      <w:lvlText w:val="第%1章"/>
      <w:lvlJc w:val="left"/>
      <w:pPr>
        <w:ind w:left="425" w:hanging="425"/>
      </w:pPr>
      <w:rPr>
        <w:rFonts w:hint="eastAsia"/>
      </w:rPr>
    </w:lvl>
    <w:lvl w:ilvl="1" w:tentative="0">
      <w:start w:val="1"/>
      <w:numFmt w:val="decimal"/>
      <w:isLgl/>
      <w:suff w:val="space"/>
      <w:lvlText w:val="%1.%2"/>
      <w:lvlJc w:val="left"/>
      <w:pPr>
        <w:ind w:left="567" w:hanging="567"/>
      </w:pPr>
      <w:rPr>
        <w:rFonts w:hint="eastAsia"/>
      </w:rPr>
    </w:lvl>
    <w:lvl w:ilvl="2" w:tentative="0">
      <w:start w:val="1"/>
      <w:numFmt w:val="decimal"/>
      <w:isLgl/>
      <w:suff w:val="space"/>
      <w:lvlText w:val="%1.%2.%3"/>
      <w:lvlJc w:val="left"/>
      <w:pPr>
        <w:ind w:left="709" w:hanging="709"/>
      </w:pPr>
      <w:rPr>
        <w:rFonts w:hint="eastAsia"/>
        <w:b w:val="0"/>
      </w:rPr>
    </w:lvl>
    <w:lvl w:ilvl="3" w:tentative="0">
      <w:start w:val="1"/>
      <w:numFmt w:val="decimal"/>
      <w:pStyle w:val="3"/>
      <w:isLgl/>
      <w:suff w:val="space"/>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71C2603C"/>
    <w:multiLevelType w:val="multilevel"/>
    <w:tmpl w:val="71C2603C"/>
    <w:lvl w:ilvl="0" w:tentative="0">
      <w:start w:val="1"/>
      <w:numFmt w:val="decimal"/>
      <w:lvlText w:val="%1)"/>
      <w:lvlJc w:val="left"/>
      <w:pPr>
        <w:ind w:left="865" w:hanging="440"/>
      </w:p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AB"/>
    <w:rsid w:val="00002AF6"/>
    <w:rsid w:val="000416D4"/>
    <w:rsid w:val="00053664"/>
    <w:rsid w:val="001971BA"/>
    <w:rsid w:val="00224173"/>
    <w:rsid w:val="00243F76"/>
    <w:rsid w:val="002C7996"/>
    <w:rsid w:val="004951DA"/>
    <w:rsid w:val="00495B8B"/>
    <w:rsid w:val="004C2DFD"/>
    <w:rsid w:val="00513E95"/>
    <w:rsid w:val="00517791"/>
    <w:rsid w:val="005747E8"/>
    <w:rsid w:val="00587586"/>
    <w:rsid w:val="00691E95"/>
    <w:rsid w:val="006D365A"/>
    <w:rsid w:val="007055E9"/>
    <w:rsid w:val="009608CC"/>
    <w:rsid w:val="00975C5C"/>
    <w:rsid w:val="00B1347F"/>
    <w:rsid w:val="00B30B83"/>
    <w:rsid w:val="00B7226C"/>
    <w:rsid w:val="00C701C9"/>
    <w:rsid w:val="00CF0670"/>
    <w:rsid w:val="00CF3636"/>
    <w:rsid w:val="00D4754E"/>
    <w:rsid w:val="00E35D8E"/>
    <w:rsid w:val="00E97FAB"/>
    <w:rsid w:val="00F635E0"/>
    <w:rsid w:val="00FF40C3"/>
    <w:rsid w:val="00FF5E6E"/>
    <w:rsid w:val="12BF6F31"/>
    <w:rsid w:val="21087A73"/>
    <w:rsid w:val="2ED15D0B"/>
    <w:rsid w:val="2F79C40C"/>
    <w:rsid w:val="2FFFDF93"/>
    <w:rsid w:val="33FD9F91"/>
    <w:rsid w:val="360A6F19"/>
    <w:rsid w:val="3CD751F3"/>
    <w:rsid w:val="3D79BE6D"/>
    <w:rsid w:val="3FFF301A"/>
    <w:rsid w:val="423A6338"/>
    <w:rsid w:val="43A04D09"/>
    <w:rsid w:val="491037B9"/>
    <w:rsid w:val="4BA86047"/>
    <w:rsid w:val="501B0DB4"/>
    <w:rsid w:val="513F7171"/>
    <w:rsid w:val="54F96A23"/>
    <w:rsid w:val="56E8066C"/>
    <w:rsid w:val="56F04AE9"/>
    <w:rsid w:val="56F74A64"/>
    <w:rsid w:val="5BDB8491"/>
    <w:rsid w:val="5EAF4988"/>
    <w:rsid w:val="5FC9263F"/>
    <w:rsid w:val="65EB66AC"/>
    <w:rsid w:val="69DA715E"/>
    <w:rsid w:val="69FF463B"/>
    <w:rsid w:val="6BEFD208"/>
    <w:rsid w:val="6D579615"/>
    <w:rsid w:val="6EF21710"/>
    <w:rsid w:val="6FF14D1F"/>
    <w:rsid w:val="6FF75A7F"/>
    <w:rsid w:val="75ABFF8F"/>
    <w:rsid w:val="76CE92E6"/>
    <w:rsid w:val="7794CBD9"/>
    <w:rsid w:val="77B7EF62"/>
    <w:rsid w:val="77D75DE3"/>
    <w:rsid w:val="78B5126B"/>
    <w:rsid w:val="79F85BE5"/>
    <w:rsid w:val="7A77367D"/>
    <w:rsid w:val="7B7F1E6B"/>
    <w:rsid w:val="7BF72436"/>
    <w:rsid w:val="7CFF98EE"/>
    <w:rsid w:val="7D676634"/>
    <w:rsid w:val="7ECC4920"/>
    <w:rsid w:val="7FAD72CC"/>
    <w:rsid w:val="7FBE245C"/>
    <w:rsid w:val="7FDD46A5"/>
    <w:rsid w:val="7FFADE6B"/>
    <w:rsid w:val="7FFBD824"/>
    <w:rsid w:val="7FFF3035"/>
    <w:rsid w:val="9D3CAFB1"/>
    <w:rsid w:val="AD37EDA7"/>
    <w:rsid w:val="AF7D9ABF"/>
    <w:rsid w:val="AFFD18AF"/>
    <w:rsid w:val="B75B6AA9"/>
    <w:rsid w:val="D5EFBDB5"/>
    <w:rsid w:val="D5FEFB87"/>
    <w:rsid w:val="D69F55AF"/>
    <w:rsid w:val="D7E6D2CE"/>
    <w:rsid w:val="DF6FF77E"/>
    <w:rsid w:val="DF7B878B"/>
    <w:rsid w:val="DFBF11CD"/>
    <w:rsid w:val="DFEBA72A"/>
    <w:rsid w:val="DFFC8385"/>
    <w:rsid w:val="E77B86EE"/>
    <w:rsid w:val="E7DF0C96"/>
    <w:rsid w:val="EB5F5C19"/>
    <w:rsid w:val="EC7F002C"/>
    <w:rsid w:val="EE3330E8"/>
    <w:rsid w:val="EEFF867D"/>
    <w:rsid w:val="EFFB5BDC"/>
    <w:rsid w:val="F2D79834"/>
    <w:rsid w:val="F5E9F570"/>
    <w:rsid w:val="F7EF9D2F"/>
    <w:rsid w:val="F7FF9E03"/>
    <w:rsid w:val="FAF77B30"/>
    <w:rsid w:val="FB768BF9"/>
    <w:rsid w:val="FBB6957B"/>
    <w:rsid w:val="FBB6E0C8"/>
    <w:rsid w:val="FBFB9C87"/>
    <w:rsid w:val="FE7E00ED"/>
    <w:rsid w:val="FEAE6B97"/>
    <w:rsid w:val="FEFFC655"/>
    <w:rsid w:val="FF518DA7"/>
    <w:rsid w:val="FF799668"/>
    <w:rsid w:val="FFD76963"/>
    <w:rsid w:val="FFF7B6F2"/>
    <w:rsid w:val="FFFD5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cs="notosanscjksc" w:asciiTheme="minorHAnsi" w:hAnsiTheme="minorHAnsi" w:eastAsiaTheme="minorEastAsia"/>
      <w:kern w:val="2"/>
      <w:sz w:val="21"/>
      <w:szCs w:val="24"/>
      <w:lang w:val="en-US" w:eastAsia="zh-CN" w:bidi="ar-SA"/>
    </w:rPr>
  </w:style>
  <w:style w:type="paragraph" w:styleId="2">
    <w:name w:val="heading 3"/>
    <w:basedOn w:val="1"/>
    <w:next w:val="1"/>
    <w:link w:val="18"/>
    <w:semiHidden/>
    <w:unhideWhenUsed/>
    <w:qFormat/>
    <w:uiPriority w:val="0"/>
    <w:pPr>
      <w:keepNext/>
      <w:keepLines/>
      <w:spacing w:before="260" w:after="260" w:line="416" w:lineRule="auto"/>
      <w:outlineLvl w:val="2"/>
    </w:pPr>
    <w:rPr>
      <w:b/>
      <w:bCs/>
      <w:sz w:val="32"/>
      <w:szCs w:val="32"/>
    </w:rPr>
  </w:style>
  <w:style w:type="paragraph" w:styleId="3">
    <w:name w:val="heading 4"/>
    <w:basedOn w:val="1"/>
    <w:next w:val="1"/>
    <w:link w:val="19"/>
    <w:unhideWhenUsed/>
    <w:qFormat/>
    <w:uiPriority w:val="0"/>
    <w:pPr>
      <w:keepNext/>
      <w:keepLines/>
      <w:numPr>
        <w:ilvl w:val="3"/>
        <w:numId w:val="1"/>
      </w:numPr>
      <w:spacing w:line="400" w:lineRule="exact"/>
      <w:outlineLvl w:val="3"/>
    </w:pPr>
    <w:rPr>
      <w:rFonts w:ascii="黑体" w:hAnsi="黑体" w:eastAsia="黑体" w:cs="黑体"/>
      <w:bCs/>
      <w:color w:val="000000" w:themeColor="text1"/>
      <w:sz w:val="24"/>
      <w14:textFill>
        <w14:solidFill>
          <w14:schemeClr w14:val="tx1"/>
        </w14:solidFill>
      </w14:textFill>
    </w:rPr>
  </w:style>
  <w:style w:type="paragraph" w:styleId="4">
    <w:name w:val="heading 5"/>
    <w:basedOn w:val="1"/>
    <w:next w:val="1"/>
    <w:semiHidden/>
    <w:unhideWhenUsed/>
    <w:qFormat/>
    <w:uiPriority w:val="0"/>
    <w:pPr>
      <w:keepNext/>
      <w:keepLines/>
      <w:spacing w:before="280" w:after="290" w:line="372" w:lineRule="auto"/>
      <w:outlineLvl w:val="4"/>
    </w:pPr>
    <w:rPr>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pPr>
    <w:rPr>
      <w:sz w:val="24"/>
      <w:szCs w:val="20"/>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2"/>
    <w:basedOn w:val="1"/>
    <w:link w:val="17"/>
    <w:qFormat/>
    <w:uiPriority w:val="0"/>
    <w:pPr>
      <w:spacing w:after="120" w:line="480" w:lineRule="auto"/>
    </w:pPr>
  </w:style>
  <w:style w:type="paragraph" w:styleId="10">
    <w:name w:val="Title"/>
    <w:basedOn w:val="1"/>
    <w:next w:val="1"/>
    <w:qFormat/>
    <w:uiPriority w:val="10"/>
    <w:pPr>
      <w:spacing w:before="240" w:after="60"/>
      <w:jc w:val="center"/>
      <w:outlineLvl w:val="0"/>
    </w:pPr>
    <w:rPr>
      <w:rFonts w:asciiTheme="majorHAnsi" w:hAnsiTheme="majorHAnsi" w:eastAsiaTheme="majorEastAsia" w:cstheme="majorBidi"/>
      <w:b/>
      <w:bCs/>
      <w:kern w:val="28"/>
      <w:sz w:val="32"/>
      <w:szCs w:val="32"/>
    </w:rPr>
  </w:style>
  <w:style w:type="table" w:styleId="12">
    <w:name w:val="Table Grid"/>
    <w:basedOn w:val="11"/>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paragraph" w:customStyle="1" w:styleId="14">
    <w:name w:val="表格文字"/>
    <w:basedOn w:val="1"/>
    <w:qFormat/>
    <w:uiPriority w:val="0"/>
    <w:pPr>
      <w:spacing w:before="25" w:after="25"/>
      <w:jc w:val="left"/>
    </w:pPr>
    <w:rPr>
      <w:bCs/>
      <w:spacing w:val="10"/>
      <w:kern w:val="0"/>
      <w:sz w:val="24"/>
      <w:szCs w:val="20"/>
    </w:rPr>
  </w:style>
  <w:style w:type="paragraph" w:styleId="15">
    <w:name w:val="List Paragraph"/>
    <w:basedOn w:val="1"/>
    <w:qFormat/>
    <w:uiPriority w:val="34"/>
    <w:pPr>
      <w:ind w:firstLine="420" w:firstLineChars="200"/>
    </w:pPr>
  </w:style>
  <w:style w:type="paragraph" w:customStyle="1" w:styleId="16">
    <w:name w:val="正文_0_0_0"/>
    <w:qFormat/>
    <w:uiPriority w:val="0"/>
    <w:pPr>
      <w:widowControl w:val="0"/>
      <w:autoSpaceDE w:val="0"/>
      <w:autoSpaceDN w:val="0"/>
    </w:pPr>
    <w:rPr>
      <w:rFonts w:ascii="Noto Sans CJK JP Regular" w:hAnsi="Noto Sans CJK JP Regular" w:eastAsia="Noto Sans CJK JP Regular" w:cs="Noto Sans CJK JP Regular"/>
      <w:sz w:val="22"/>
      <w:szCs w:val="22"/>
      <w:lang w:val="en-US" w:eastAsia="en-US" w:bidi="ar-SA"/>
    </w:rPr>
  </w:style>
  <w:style w:type="character" w:customStyle="1" w:styleId="17">
    <w:name w:val="正文文本 2 字符"/>
    <w:basedOn w:val="13"/>
    <w:link w:val="9"/>
    <w:qFormat/>
    <w:uiPriority w:val="0"/>
    <w:rPr>
      <w:rFonts w:cs="notosanscjksc"/>
      <w:kern w:val="2"/>
      <w:sz w:val="21"/>
      <w:szCs w:val="24"/>
    </w:rPr>
  </w:style>
  <w:style w:type="character" w:customStyle="1" w:styleId="18">
    <w:name w:val="标题 3 字符"/>
    <w:basedOn w:val="13"/>
    <w:link w:val="2"/>
    <w:semiHidden/>
    <w:qFormat/>
    <w:uiPriority w:val="0"/>
    <w:rPr>
      <w:rFonts w:cs="notosanscjksc"/>
      <w:b/>
      <w:bCs/>
      <w:kern w:val="2"/>
      <w:sz w:val="32"/>
      <w:szCs w:val="32"/>
    </w:rPr>
  </w:style>
  <w:style w:type="character" w:customStyle="1" w:styleId="19">
    <w:name w:val="标题 4 字符"/>
    <w:basedOn w:val="13"/>
    <w:link w:val="3"/>
    <w:qFormat/>
    <w:uiPriority w:val="0"/>
    <w:rPr>
      <w:rFonts w:ascii="黑体" w:hAnsi="黑体" w:eastAsia="黑体" w:cs="黑体"/>
      <w:bCs/>
      <w:color w:val="000000" w:themeColor="text1"/>
      <w:kern w:val="2"/>
      <w:sz w:val="24"/>
      <w:szCs w:val="24"/>
      <w14:textFill>
        <w14:solidFill>
          <w14:schemeClr w14:val="tx1"/>
        </w14:solidFill>
      </w14:textFill>
    </w:rPr>
  </w:style>
  <w:style w:type="paragraph" w:customStyle="1" w:styleId="20">
    <w:name w:val="M正文"/>
    <w:basedOn w:val="1"/>
    <w:qFormat/>
    <w:uiPriority w:val="0"/>
    <w:pPr>
      <w:widowControl/>
      <w:spacing w:line="360" w:lineRule="auto"/>
      <w:ind w:firstLine="480" w:firstLineChars="200"/>
      <w:jc w:val="left"/>
    </w:pPr>
    <w:rPr>
      <w:rFonts w:cs="Times New Roman"/>
      <w:kern w:val="0"/>
      <w:sz w:val="24"/>
      <w:szCs w:val="24"/>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1961</Words>
  <Characters>11180</Characters>
  <Lines>93</Lines>
  <Paragraphs>26</Paragraphs>
  <TotalTime>12</TotalTime>
  <ScaleCrop>false</ScaleCrop>
  <LinksUpToDate>false</LinksUpToDate>
  <CharactersWithSpaces>13115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2025-09-18T02:08:00Z</dcterms:created>
  <dc:creator>operator</dc:creator>
  <cp:lastModifiedBy>Administrator</cp:lastModifiedBy>
  <cp:lastPrinted>2026-03-25T07:47:00Z</cp:lastPrinted>
  <dcterms:modified xsi:type="dcterms:W3CDTF">2026-04-08T07:57:48Z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eyJoZGlkIjoiNzFlNzY1YzA1MjcyYWIwNDc2Y2Q4MjZmNWU5MTI2YTAiLCJ1c2VySWQiOiI1ODQ2MTU1MjgifQ==</vt:lpwstr>
  </property>
  <property fmtid="{D5CDD505-2E9C-101B-9397-08002B2CF9AE}" pid="4" name="ICV">
    <vt:lpwstr>E33C824AE55837F473DAC868151295AF_43</vt:lpwstr>
  </property>
</Properties>
</file>