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附件一：</w:t>
      </w:r>
    </w:p>
    <w:p>
      <w:pPr>
        <w:jc w:val="left"/>
        <w:rPr>
          <w:rFonts w:hint="eastAsia" w:asciiTheme="minorEastAsia" w:hAnsiTheme="minorEastAsia"/>
          <w:b/>
          <w:color w:val="000000" w:themeColor="text1"/>
          <w:sz w:val="24"/>
          <w:szCs w:val="24"/>
          <w:highlight w:val="none"/>
          <w14:textFill>
            <w14:solidFill>
              <w14:schemeClr w14:val="tx1"/>
            </w14:solidFill>
          </w14:textFill>
        </w:rPr>
      </w:pPr>
    </w:p>
    <w:p>
      <w:pPr>
        <w:widowControl/>
        <w:snapToGrid w:val="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惠州市中大惠亚医院2025年度一期建筑消防设施</w:t>
      </w:r>
    </w:p>
    <w:p>
      <w:pPr>
        <w:widowControl/>
        <w:snapToGrid w:val="0"/>
        <w:jc w:val="center"/>
        <w:rPr>
          <w:rFonts w:hint="eastAsia" w:ascii="宋体" w:hAnsi="宋体" w:cs="宋体"/>
          <w:b/>
          <w:bCs/>
          <w:sz w:val="36"/>
          <w:szCs w:val="36"/>
          <w:highlight w:val="none"/>
          <w:lang w:eastAsia="zh-CN"/>
        </w:rPr>
      </w:pPr>
      <w:r>
        <w:rPr>
          <w:rFonts w:hint="eastAsia" w:ascii="宋体" w:hAnsi="宋体" w:eastAsia="宋体" w:cs="宋体"/>
          <w:b/>
          <w:bCs/>
          <w:sz w:val="36"/>
          <w:szCs w:val="36"/>
          <w:highlight w:val="none"/>
        </w:rPr>
        <w:t>第三方检测采购项目</w:t>
      </w:r>
      <w:r>
        <w:rPr>
          <w:rFonts w:hint="eastAsia" w:ascii="宋体" w:hAnsi="宋体" w:cs="宋体"/>
          <w:b/>
          <w:bCs/>
          <w:sz w:val="36"/>
          <w:szCs w:val="36"/>
          <w:highlight w:val="none"/>
          <w:lang w:eastAsia="zh-CN"/>
        </w:rPr>
        <w:t>需求书</w:t>
      </w:r>
    </w:p>
    <w:p>
      <w:pPr>
        <w:pStyle w:val="6"/>
        <w:numPr>
          <w:ilvl w:val="0"/>
          <w:numId w:val="1"/>
        </w:numPr>
        <w:ind w:firstLineChars="0"/>
        <w:rPr>
          <w:rFonts w:hint="eastAsia"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项目名称</w:t>
      </w:r>
    </w:p>
    <w:p>
      <w:pPr>
        <w:pStyle w:val="6"/>
        <w:ind w:left="720" w:firstLine="0" w:firstLineChars="0"/>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2025年度一期建筑消防设施第三方检测采购项目。</w:t>
      </w:r>
    </w:p>
    <w:p>
      <w:pPr>
        <w:rPr>
          <w:rFonts w:hint="eastAsia"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二、项目概况</w:t>
      </w:r>
    </w:p>
    <w:p>
      <w:pPr>
        <w:ind w:firstLine="555"/>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1.项目地址：惠州市大亚湾区中兴北路186号惠州市中大惠亚医院。</w:t>
      </w:r>
    </w:p>
    <w:p>
      <w:pPr>
        <w:ind w:firstLine="555"/>
        <w:rPr>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2.</w:t>
      </w:r>
      <w:r>
        <w:rPr>
          <w:color w:val="000000" w:themeColor="text1"/>
          <w:sz w:val="28"/>
          <w:szCs w:val="28"/>
          <w:highlight w:val="none"/>
          <w14:textFill>
            <w14:solidFill>
              <w14:schemeClr w14:val="tx1"/>
            </w14:solidFill>
          </w14:textFill>
        </w:rPr>
        <w:t>医院概况：医院</w:t>
      </w:r>
      <w:r>
        <w:rPr>
          <w:rFonts w:hint="eastAsia"/>
          <w:color w:val="000000" w:themeColor="text1"/>
          <w:sz w:val="28"/>
          <w:szCs w:val="28"/>
          <w:highlight w:val="none"/>
          <w:lang w:eastAsia="zh-CN"/>
          <w14:textFill>
            <w14:solidFill>
              <w14:schemeClr w14:val="tx1"/>
            </w14:solidFill>
          </w14:textFill>
        </w:rPr>
        <w:t>一期</w:t>
      </w:r>
      <w:r>
        <w:rPr>
          <w:rFonts w:hint="eastAsia"/>
          <w:color w:val="000000" w:themeColor="text1"/>
          <w:sz w:val="28"/>
          <w:szCs w:val="28"/>
          <w:highlight w:val="none"/>
          <w14:textFill>
            <w14:solidFill>
              <w14:schemeClr w14:val="tx1"/>
            </w14:solidFill>
          </w14:textFill>
        </w:rPr>
        <w:t>总</w:t>
      </w:r>
      <w:r>
        <w:rPr>
          <w:color w:val="000000" w:themeColor="text1"/>
          <w:sz w:val="28"/>
          <w:szCs w:val="28"/>
          <w:highlight w:val="none"/>
          <w14:textFill>
            <w14:solidFill>
              <w14:schemeClr w14:val="tx1"/>
            </w14:solidFill>
          </w14:textFill>
        </w:rPr>
        <w:t>建筑面积</w:t>
      </w:r>
      <w:r>
        <w:rPr>
          <w:rFonts w:hint="eastAsia"/>
          <w:color w:val="000000" w:themeColor="text1"/>
          <w:sz w:val="28"/>
          <w:szCs w:val="28"/>
          <w:highlight w:val="none"/>
          <w14:textFill>
            <w14:solidFill>
              <w14:schemeClr w14:val="tx1"/>
            </w14:solidFill>
          </w14:textFill>
        </w:rPr>
        <w:t>约83468</w:t>
      </w:r>
      <w:r>
        <w:rPr>
          <w:color w:val="000000" w:themeColor="text1"/>
          <w:sz w:val="28"/>
          <w:szCs w:val="28"/>
          <w:highlight w:val="none"/>
          <w14:textFill>
            <w14:solidFill>
              <w14:schemeClr w14:val="tx1"/>
            </w14:solidFill>
          </w14:textFill>
        </w:rPr>
        <w:t>平方米。建筑设有</w:t>
      </w:r>
      <w:r>
        <w:rPr>
          <w:rFonts w:hint="eastAsia"/>
          <w:color w:val="000000" w:themeColor="text1"/>
          <w:sz w:val="28"/>
          <w:szCs w:val="28"/>
          <w:highlight w:val="none"/>
          <w14:textFill>
            <w14:solidFill>
              <w14:schemeClr w14:val="tx1"/>
            </w14:solidFill>
          </w14:textFill>
        </w:rPr>
        <w:t>消防供配电设施、火灾自动报警系统（包含远程监控装置、消防电源监控系统、余压监控系统）、电气火灾监控系统、消防供水设施、消火栓（消防炮）灭火系统、自动喷水灭火系统、泡沫灭火系统（湿式-泡沫联用系统）、气体灭火系统、防烟和排烟系统、应急照明和疏散指示标志、应急广播系统、消防专用电话、防火分隔设施（防火门监控系统、防火门、防火窗、防火卷帘等）、消防电梯、建筑灭火器</w:t>
      </w:r>
      <w:r>
        <w:rPr>
          <w:color w:val="000000" w:themeColor="text1"/>
          <w:sz w:val="28"/>
          <w:szCs w:val="28"/>
          <w:highlight w:val="none"/>
          <w14:textFill>
            <w14:solidFill>
              <w14:schemeClr w14:val="tx1"/>
            </w14:solidFill>
          </w14:textFill>
        </w:rPr>
        <w:t>等消防设施。</w:t>
      </w:r>
    </w:p>
    <w:tbl>
      <w:tblPr>
        <w:tblStyle w:val="4"/>
        <w:tblW w:w="9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9"/>
        <w:gridCol w:w="4071"/>
        <w:gridCol w:w="1486"/>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40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惠州市中大惠亚医院202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年度建筑消防设施第三方检测</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使用性质:</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建筑面积:</w:t>
            </w:r>
          </w:p>
        </w:tc>
        <w:tc>
          <w:tcPr>
            <w:tcW w:w="4071"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2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83468㎡</w:t>
            </w:r>
            <w:bookmarkStart w:id="0" w:name="_GoBack"/>
            <w:bookmarkEnd w:id="0"/>
          </w:p>
        </w:tc>
        <w:tc>
          <w:tcPr>
            <w:tcW w:w="148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受检面积：</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83468㎡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楼    层：</w:t>
            </w:r>
          </w:p>
        </w:tc>
        <w:tc>
          <w:tcPr>
            <w:tcW w:w="40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地上15层(最高)； 地下 1 层</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建筑高度：</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59.45m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snapToGrid w:val="0"/>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w:t>
            </w:r>
          </w:p>
        </w:tc>
        <w:tc>
          <w:tcPr>
            <w:tcW w:w="7273"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惠州市大亚湾区中兴北路186号</w:t>
            </w:r>
          </w:p>
        </w:tc>
      </w:tr>
    </w:tbl>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3.检测标准：</w:t>
      </w:r>
      <w:r>
        <w:rPr>
          <w:color w:val="000000" w:themeColor="text1"/>
          <w:sz w:val="28"/>
          <w:szCs w:val="28"/>
          <w:highlight w:val="none"/>
          <w14:textFill>
            <w14:solidFill>
              <w14:schemeClr w14:val="tx1"/>
            </w14:solidFill>
          </w14:textFill>
        </w:rPr>
        <w:t>国家、地方与建筑防火设计及消防设施有关的法律法规、工程质量验收规范等</w:t>
      </w:r>
      <w:r>
        <w:rPr>
          <w:rFonts w:hint="eastAsia"/>
          <w:color w:val="000000" w:themeColor="text1"/>
          <w:sz w:val="28"/>
          <w:szCs w:val="28"/>
          <w:highlight w:val="none"/>
          <w14:textFill>
            <w14:solidFill>
              <w14:schemeClr w14:val="tx1"/>
            </w14:solidFill>
          </w14:textFill>
        </w:rPr>
        <w:t>。</w:t>
      </w:r>
    </w:p>
    <w:p>
      <w:pPr>
        <w:ind w:firstLine="555"/>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4.按检测标准对</w:t>
      </w:r>
      <w:r>
        <w:rPr>
          <w:color w:val="000000" w:themeColor="text1"/>
          <w:sz w:val="28"/>
          <w:szCs w:val="28"/>
          <w:highlight w:val="none"/>
          <w14:textFill>
            <w14:solidFill>
              <w14:schemeClr w14:val="tx1"/>
            </w14:solidFill>
          </w14:textFill>
        </w:rPr>
        <w:t>医院</w:t>
      </w:r>
      <w:r>
        <w:rPr>
          <w:rFonts w:hint="eastAsia"/>
          <w:color w:val="000000" w:themeColor="text1"/>
          <w:sz w:val="28"/>
          <w:szCs w:val="28"/>
          <w:highlight w:val="none"/>
          <w:lang w:eastAsia="zh-CN"/>
          <w14:textFill>
            <w14:solidFill>
              <w14:schemeClr w14:val="tx1"/>
            </w14:solidFill>
          </w14:textFill>
        </w:rPr>
        <w:t>一期</w:t>
      </w:r>
      <w:r>
        <w:rPr>
          <w:rFonts w:hint="eastAsia"/>
          <w:color w:val="000000" w:themeColor="text1"/>
          <w:sz w:val="28"/>
          <w:szCs w:val="28"/>
          <w:highlight w:val="none"/>
          <w14:textFill>
            <w14:solidFill>
              <w14:schemeClr w14:val="tx1"/>
            </w14:solidFill>
          </w14:textFill>
        </w:rPr>
        <w:t>与消防有关的设施进行全面检测，检测结果不能有漏缺或错误。</w:t>
      </w:r>
    </w:p>
    <w:p>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三、项目总体要求</w:t>
      </w:r>
    </w:p>
    <w:p>
      <w:pPr>
        <w:ind w:firstLine="5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合同签订后</w:t>
      </w:r>
      <w:r>
        <w:rPr>
          <w:color w:val="000000" w:themeColor="text1"/>
          <w:sz w:val="28"/>
          <w:szCs w:val="28"/>
          <w:highlight w:val="none"/>
          <w:u w:val="single"/>
          <w14:textFill>
            <w14:solidFill>
              <w14:schemeClr w14:val="tx1"/>
            </w14:solidFill>
          </w14:textFill>
        </w:rPr>
        <w:t xml:space="preserve">  3  </w:t>
      </w:r>
      <w:r>
        <w:rPr>
          <w:color w:val="000000" w:themeColor="text1"/>
          <w:sz w:val="28"/>
          <w:szCs w:val="28"/>
          <w:highlight w:val="none"/>
          <w14:textFill>
            <w14:solidFill>
              <w14:schemeClr w14:val="tx1"/>
            </w14:solidFill>
          </w14:textFill>
        </w:rPr>
        <w:t>个工作日内</w:t>
      </w:r>
      <w:r>
        <w:rPr>
          <w:rFonts w:hint="eastAsia"/>
          <w:color w:val="000000" w:themeColor="text1"/>
          <w:sz w:val="28"/>
          <w:szCs w:val="28"/>
          <w:highlight w:val="none"/>
          <w14:textFill>
            <w14:solidFill>
              <w14:schemeClr w14:val="tx1"/>
            </w14:solidFill>
          </w14:textFill>
        </w:rPr>
        <w:t>供应商</w:t>
      </w:r>
      <w:r>
        <w:rPr>
          <w:color w:val="000000" w:themeColor="text1"/>
          <w:sz w:val="28"/>
          <w:szCs w:val="28"/>
          <w:highlight w:val="none"/>
          <w14:textFill>
            <w14:solidFill>
              <w14:schemeClr w14:val="tx1"/>
            </w14:solidFill>
          </w14:textFill>
        </w:rPr>
        <w:t>应根据现场实际情况制定好检测计划和检测方案，并将检测计划和检测方案交</w:t>
      </w:r>
      <w:r>
        <w:rPr>
          <w:rFonts w:hint="eastAsia"/>
          <w:color w:val="000000" w:themeColor="text1"/>
          <w:sz w:val="28"/>
          <w:szCs w:val="28"/>
          <w:highlight w:val="none"/>
          <w14:textFill>
            <w14:solidFill>
              <w14:schemeClr w14:val="tx1"/>
            </w14:solidFill>
          </w14:textFill>
        </w:rPr>
        <w:t>采购方</w:t>
      </w:r>
      <w:r>
        <w:rPr>
          <w:color w:val="000000" w:themeColor="text1"/>
          <w:sz w:val="28"/>
          <w:szCs w:val="28"/>
          <w:highlight w:val="none"/>
          <w14:textFill>
            <w14:solidFill>
              <w14:schemeClr w14:val="tx1"/>
            </w14:solidFill>
          </w14:textFill>
        </w:rPr>
        <w:t>进行审查，</w:t>
      </w:r>
      <w:r>
        <w:rPr>
          <w:rFonts w:hint="eastAsia"/>
          <w:color w:val="000000" w:themeColor="text1"/>
          <w:sz w:val="28"/>
          <w:szCs w:val="28"/>
          <w:highlight w:val="none"/>
          <w14:textFill>
            <w14:solidFill>
              <w14:schemeClr w14:val="tx1"/>
            </w14:solidFill>
          </w14:textFill>
        </w:rPr>
        <w:t>采购方确认和同意</w:t>
      </w:r>
      <w:r>
        <w:rPr>
          <w:color w:val="000000" w:themeColor="text1"/>
          <w:sz w:val="28"/>
          <w:szCs w:val="28"/>
          <w:highlight w:val="none"/>
          <w14:textFill>
            <w14:solidFill>
              <w14:schemeClr w14:val="tx1"/>
            </w14:solidFill>
          </w14:textFill>
        </w:rPr>
        <w:t>检测方案</w:t>
      </w:r>
      <w:r>
        <w:rPr>
          <w:rFonts w:hint="eastAsia"/>
          <w:color w:val="000000" w:themeColor="text1"/>
          <w:sz w:val="28"/>
          <w:szCs w:val="28"/>
          <w:highlight w:val="none"/>
          <w14:textFill>
            <w14:solidFill>
              <w14:schemeClr w14:val="tx1"/>
            </w14:solidFill>
          </w14:textFill>
        </w:rPr>
        <w:t>、并向供应商</w:t>
      </w:r>
      <w:r>
        <w:rPr>
          <w:color w:val="000000" w:themeColor="text1"/>
          <w:sz w:val="28"/>
          <w:szCs w:val="28"/>
          <w:highlight w:val="none"/>
          <w14:textFill>
            <w14:solidFill>
              <w14:schemeClr w14:val="tx1"/>
            </w14:solidFill>
          </w14:textFill>
        </w:rPr>
        <w:t>发出</w:t>
      </w:r>
      <w:r>
        <w:rPr>
          <w:rFonts w:hint="eastAsia"/>
          <w:color w:val="000000" w:themeColor="text1"/>
          <w:sz w:val="28"/>
          <w:szCs w:val="28"/>
          <w:highlight w:val="none"/>
          <w14:textFill>
            <w14:solidFill>
              <w14:schemeClr w14:val="tx1"/>
            </w14:solidFill>
          </w14:textFill>
        </w:rPr>
        <w:t>通知后的次日，供应商</w:t>
      </w:r>
      <w:r>
        <w:rPr>
          <w:color w:val="000000" w:themeColor="text1"/>
          <w:sz w:val="28"/>
          <w:szCs w:val="28"/>
          <w:highlight w:val="none"/>
          <w14:textFill>
            <w14:solidFill>
              <w14:schemeClr w14:val="tx1"/>
            </w14:solidFill>
          </w14:textFill>
        </w:rPr>
        <w:t>开始</w:t>
      </w:r>
      <w:r>
        <w:rPr>
          <w:rFonts w:hint="eastAsia"/>
          <w:color w:val="000000" w:themeColor="text1"/>
          <w:sz w:val="28"/>
          <w:szCs w:val="28"/>
          <w:highlight w:val="none"/>
          <w14:textFill>
            <w14:solidFill>
              <w14:schemeClr w14:val="tx1"/>
            </w14:solidFill>
          </w14:textFill>
        </w:rPr>
        <w:t>进场</w:t>
      </w:r>
      <w:r>
        <w:rPr>
          <w:color w:val="000000" w:themeColor="text1"/>
          <w:sz w:val="28"/>
          <w:szCs w:val="28"/>
          <w:highlight w:val="none"/>
          <w14:textFill>
            <w14:solidFill>
              <w14:schemeClr w14:val="tx1"/>
            </w14:solidFill>
          </w14:textFill>
        </w:rPr>
        <w:t>进行检测。</w:t>
      </w:r>
    </w:p>
    <w:p>
      <w:pPr>
        <w:tabs>
          <w:tab w:val="left" w:pos="851"/>
        </w:tabs>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检测工作需要的所有工具和辅助设施等工程措施由检测单位自行解决，检测所需设施、设备应有有效期内的计量认证合格证书，现场作业人员的安全由检测单位自己负责。</w:t>
      </w:r>
    </w:p>
    <w:p>
      <w:pPr>
        <w:tabs>
          <w:tab w:val="left" w:pos="851"/>
        </w:tabs>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r>
        <w:rPr>
          <w:color w:val="000000" w:themeColor="text1"/>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测试每项消防系统联动功能（包括但不限于切断非消防电源、联动启动应急广播广播和应急照明、联动启动防排烟风机、联动启动报警阀组、联动启动发电机、联动降防火卷帘、联动启动气体，联动启动消防栓泵和自动喷淋泵、联动迫降电梯、双电源箱自动切换回路等），各项联动测试应有保障措施，防止因联动测试造成停电、喷水、气体灭火启动等意外发生，应对重点、难点有先进、合理的解决方案，检测方案中的各项措施应具体、安全、可操作性强。</w:t>
      </w:r>
    </w:p>
    <w:p>
      <w:pPr>
        <w:ind w:firstLine="540"/>
        <w:rPr>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4.</w:t>
      </w:r>
      <w:r>
        <w:rPr>
          <w:color w:val="000000" w:themeColor="text1"/>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因检测单位原因造成消防设施损坏或产生经济损失的，由检测单位原状恢复或赔偿经济损失。</w:t>
      </w:r>
    </w:p>
    <w:p>
      <w:pPr>
        <w:ind w:firstLine="5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r>
        <w:rPr>
          <w:color w:val="000000" w:themeColor="text1"/>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采购方</w:t>
      </w:r>
      <w:r>
        <w:rPr>
          <w:color w:val="000000" w:themeColor="text1"/>
          <w:sz w:val="28"/>
          <w:szCs w:val="28"/>
          <w:highlight w:val="none"/>
          <w14:textFill>
            <w14:solidFill>
              <w14:schemeClr w14:val="tx1"/>
            </w14:solidFill>
          </w14:textFill>
        </w:rPr>
        <w:t>发出项目开工</w:t>
      </w:r>
      <w:r>
        <w:rPr>
          <w:rFonts w:hint="eastAsia"/>
          <w:color w:val="000000" w:themeColor="text1"/>
          <w:sz w:val="28"/>
          <w:szCs w:val="28"/>
          <w:highlight w:val="none"/>
          <w14:textFill>
            <w14:solidFill>
              <w14:schemeClr w14:val="tx1"/>
            </w14:solidFill>
          </w14:textFill>
        </w:rPr>
        <w:t>通知</w:t>
      </w:r>
      <w:r>
        <w:rPr>
          <w:color w:val="000000" w:themeColor="text1"/>
          <w:sz w:val="28"/>
          <w:szCs w:val="28"/>
          <w:highlight w:val="none"/>
          <w14:textFill>
            <w14:solidFill>
              <w14:schemeClr w14:val="tx1"/>
            </w14:solidFill>
          </w14:textFill>
        </w:rPr>
        <w:t>后，</w:t>
      </w:r>
      <w:r>
        <w:rPr>
          <w:rFonts w:hint="eastAsia"/>
          <w:color w:val="000000" w:themeColor="text1"/>
          <w:sz w:val="28"/>
          <w:szCs w:val="28"/>
          <w:highlight w:val="none"/>
          <w14:textFill>
            <w14:solidFill>
              <w14:schemeClr w14:val="tx1"/>
            </w14:solidFill>
          </w14:textFill>
        </w:rPr>
        <w:t>供应商</w:t>
      </w:r>
      <w:r>
        <w:rPr>
          <w:color w:val="000000" w:themeColor="text1"/>
          <w:sz w:val="28"/>
          <w:szCs w:val="28"/>
          <w:highlight w:val="none"/>
          <w14:textFill>
            <w14:solidFill>
              <w14:schemeClr w14:val="tx1"/>
            </w14:solidFill>
          </w14:textFill>
        </w:rPr>
        <w:t>应在</w:t>
      </w:r>
      <w:r>
        <w:rPr>
          <w:rFonts w:hint="eastAsia"/>
          <w:color w:val="000000" w:themeColor="text1"/>
          <w:sz w:val="28"/>
          <w:szCs w:val="28"/>
          <w:highlight w:val="none"/>
          <w14:textFill>
            <w14:solidFill>
              <w14:schemeClr w14:val="tx1"/>
            </w14:solidFill>
          </w14:textFill>
        </w:rPr>
        <w:t>15</w:t>
      </w:r>
      <w:r>
        <w:rPr>
          <w:color w:val="000000" w:themeColor="text1"/>
          <w:sz w:val="28"/>
          <w:szCs w:val="28"/>
          <w:highlight w:val="none"/>
          <w14:textFill>
            <w14:solidFill>
              <w14:schemeClr w14:val="tx1"/>
            </w14:solidFill>
          </w14:textFill>
        </w:rPr>
        <w:t>天内完成检测工作，并向</w:t>
      </w:r>
      <w:r>
        <w:rPr>
          <w:rFonts w:hint="eastAsia"/>
          <w:color w:val="000000" w:themeColor="text1"/>
          <w:sz w:val="28"/>
          <w:szCs w:val="28"/>
          <w:highlight w:val="none"/>
          <w14:textFill>
            <w14:solidFill>
              <w14:schemeClr w14:val="tx1"/>
            </w14:solidFill>
          </w14:textFill>
        </w:rPr>
        <w:t>采购方</w:t>
      </w:r>
      <w:r>
        <w:rPr>
          <w:color w:val="000000" w:themeColor="text1"/>
          <w:sz w:val="28"/>
          <w:szCs w:val="28"/>
          <w:highlight w:val="none"/>
          <w14:textFill>
            <w14:solidFill>
              <w14:schemeClr w14:val="tx1"/>
            </w14:solidFill>
          </w14:textFill>
        </w:rPr>
        <w:t>出具科学、公正、符合法律法规要求的消防设施检测报告</w:t>
      </w:r>
      <w:r>
        <w:rPr>
          <w:rFonts w:hint="eastAsia"/>
          <w:color w:val="000000" w:themeColor="text1"/>
          <w:sz w:val="28"/>
          <w:szCs w:val="28"/>
          <w:highlight w:val="none"/>
          <w14:textFill>
            <w14:solidFill>
              <w14:schemeClr w14:val="tx1"/>
            </w14:solidFill>
          </w14:textFill>
        </w:rPr>
        <w:t>，报告共一式伍份。</w:t>
      </w:r>
    </w:p>
    <w:p>
      <w:pPr>
        <w:ind w:firstLine="5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 检测期间如因采购方日常业务等的原因使检测工作不能如常进行，检测完成时间相应顺延。</w:t>
      </w:r>
    </w:p>
    <w:p>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四、检测内容</w:t>
      </w:r>
    </w:p>
    <w:p>
      <w:pPr>
        <w:ind w:firstLine="540"/>
        <w:rPr>
          <w:color w:val="000000" w:themeColor="text1"/>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要求对医院内所有建筑消防设施</w:t>
      </w:r>
      <w:r>
        <w:rPr>
          <w:color w:val="000000" w:themeColor="text1"/>
          <w:sz w:val="28"/>
          <w:szCs w:val="28"/>
          <w:highlight w:val="none"/>
          <w14:textFill>
            <w14:solidFill>
              <w14:schemeClr w14:val="tx1"/>
            </w14:solidFill>
          </w14:textFill>
        </w:rPr>
        <w:t>做逐点测试和全面联动测试。医院建筑物的</w:t>
      </w:r>
      <w:r>
        <w:rPr>
          <w:rFonts w:hint="eastAsia"/>
          <w:color w:val="000000" w:themeColor="text1"/>
          <w:sz w:val="28"/>
          <w:szCs w:val="28"/>
          <w:highlight w:val="none"/>
          <w14:textFill>
            <w14:solidFill>
              <w14:schemeClr w14:val="tx1"/>
            </w14:solidFill>
          </w14:textFill>
        </w:rPr>
        <w:t>消防供配电设施、火灾自动报警系统（包含远程监控装置、消防电源监控系统、余压监控系统）、电气火灾监控系统、消防供水设施、消火栓（消防炮）灭火系统、自动喷水灭火系统、泡沫灭火系统（湿式-泡沫联用系统）、气体灭火系统、防烟和排烟系统、应急照明和疏散指示标志、应急广播系统、消防专用电话、防火分隔设施（防火门监控系统、防火门、防火窗、防火卷帘等）、消防电梯、建筑灭火器</w:t>
      </w:r>
      <w:r>
        <w:rPr>
          <w:color w:val="000000" w:themeColor="text1"/>
          <w:sz w:val="28"/>
          <w:szCs w:val="28"/>
          <w:highlight w:val="none"/>
          <w14:textFill>
            <w14:solidFill>
              <w14:schemeClr w14:val="tx1"/>
            </w14:solidFill>
          </w14:textFill>
        </w:rPr>
        <w:t>等</w:t>
      </w:r>
      <w:r>
        <w:rPr>
          <w:rFonts w:hint="eastAsia"/>
          <w:color w:val="000000" w:themeColor="text1"/>
          <w:sz w:val="28"/>
          <w:szCs w:val="28"/>
          <w:highlight w:val="none"/>
          <w14:textFill>
            <w14:solidFill>
              <w14:schemeClr w14:val="tx1"/>
            </w14:solidFill>
          </w14:textFill>
        </w:rPr>
        <w:t>一切消防设施</w:t>
      </w:r>
      <w:r>
        <w:rPr>
          <w:color w:val="000000" w:themeColor="text1"/>
          <w:sz w:val="28"/>
          <w:szCs w:val="28"/>
          <w:highlight w:val="none"/>
          <w14:textFill>
            <w14:solidFill>
              <w14:schemeClr w14:val="tx1"/>
            </w14:solidFill>
          </w14:textFill>
        </w:rPr>
        <w:t>进行全面检测，包括对消防设施的单项功能及其整体联动功能进行100％的检测。</w:t>
      </w:r>
    </w:p>
    <w:p>
      <w:pPr>
        <w:tabs>
          <w:tab w:val="left" w:pos="851"/>
        </w:tabs>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五、</w:t>
      </w:r>
      <w:r>
        <w:rPr>
          <w:b/>
          <w:color w:val="000000" w:themeColor="text1"/>
          <w:sz w:val="28"/>
          <w:szCs w:val="28"/>
          <w:highlight w:val="none"/>
          <w14:textFill>
            <w14:solidFill>
              <w14:schemeClr w14:val="tx1"/>
            </w14:solidFill>
          </w14:textFill>
        </w:rPr>
        <w:t>各系统主要检测内容如下：</w:t>
      </w:r>
    </w:p>
    <w:p>
      <w:pPr>
        <w:tabs>
          <w:tab w:val="left" w:pos="426"/>
          <w:tab w:val="left" w:pos="851"/>
        </w:tabs>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（一）消防供配电设施</w:t>
      </w:r>
    </w:p>
    <w:p>
      <w:pPr>
        <w:tabs>
          <w:tab w:val="left" w:pos="426"/>
          <w:tab w:val="left" w:pos="851"/>
        </w:tabs>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1.消防设备配电箱应有区别于其他配电箱的明显标志，不同消防设备的配电箱应有明显区分标识。配电箱上的仪表、指示灯的显示应正常，开关及控制按钮应灵活可靠。</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2.切换备用电源的控制方式及操作程序应符合设计要求。</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3. 发电机</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3.1 仪表、指示灯及开关按钮等应完好，显示应正常。</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3.2 自动启动并达到额定转速并发电的时间不应大于30s，发电机运行及输出功率、电压、频率、相位的显示均应正常。</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4.机房通风设施运行正常。</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5储油设施</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5.1储油箱内的油量应能满足发电机运行3～8h的用量，油位显示应正常。</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5.2燃油标号应正确。</w:t>
      </w:r>
    </w:p>
    <w:p>
      <w:pPr>
        <w:tabs>
          <w:tab w:val="left" w:pos="426"/>
          <w:tab w:val="left" w:pos="851"/>
        </w:tabs>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（二）</w:t>
      </w:r>
      <w:r>
        <w:rPr>
          <w:b/>
          <w:color w:val="000000" w:themeColor="text1"/>
          <w:sz w:val="28"/>
          <w:szCs w:val="28"/>
          <w:highlight w:val="none"/>
          <w14:textFill>
            <w14:solidFill>
              <w14:schemeClr w14:val="tx1"/>
            </w14:solidFill>
          </w14:textFill>
        </w:rPr>
        <w:t>火灾自动报警系统</w:t>
      </w:r>
    </w:p>
    <w:p>
      <w:pPr>
        <w:ind w:firstLine="560" w:firstLineChars="200"/>
        <w:rPr>
          <w:bCs/>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1.消防中控室：</w:t>
      </w:r>
      <w:r>
        <w:rPr>
          <w:color w:val="000000" w:themeColor="text1"/>
          <w:sz w:val="28"/>
          <w:szCs w:val="28"/>
          <w:highlight w:val="none"/>
          <w14:textFill>
            <w14:solidFill>
              <w14:schemeClr w14:val="tx1"/>
            </w14:solidFill>
          </w14:textFill>
        </w:rPr>
        <w:t>消防控制室的标志应齐全，消防控制室入口处应有明显标志；控制器主电源要有明显标志；保护接地要设明显标志；控制器及消防控制设备外接导线端部应有明显标志；不同电压等级、不同电流类别的端子应有明显标志；消防联动控制盘面应有明显标志。火灾报警控制器：控制器柜内导线要求布线美观，绑扎成束，导线编号、端子压接导线小于2根。消防控制室接地板的接地线也应 选用铜芯绝缘导线，其芯线截面积不小于4mm</w:t>
      </w:r>
      <w:r>
        <w:rPr>
          <w:color w:val="000000" w:themeColor="text1"/>
          <w:sz w:val="28"/>
          <w:szCs w:val="28"/>
          <w:highlight w:val="none"/>
          <w:vertAlign w:val="superscript"/>
          <w14:textFill>
            <w14:solidFill>
              <w14:schemeClr w14:val="tx1"/>
            </w14:solidFill>
          </w14:textFill>
        </w:rPr>
        <w:t>2</w:t>
      </w:r>
      <w:r>
        <w:rPr>
          <w:color w:val="000000" w:themeColor="text1"/>
          <w:sz w:val="28"/>
          <w:szCs w:val="28"/>
          <w:highlight w:val="none"/>
          <w14:textFill>
            <w14:solidFill>
              <w14:schemeClr w14:val="tx1"/>
            </w14:solidFill>
          </w14:textFill>
        </w:rPr>
        <w:t>。</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2、火灾报警控制设备检测内容：安装、配线、供电、自检、记忆、显示、打印、故障报警、消音、复位、主备电源转换、火警优先等</w:t>
      </w:r>
      <w:r>
        <w:rPr>
          <w:rFonts w:hint="eastAsia"/>
          <w:color w:val="000000" w:themeColor="text1"/>
          <w:sz w:val="28"/>
          <w:szCs w:val="28"/>
          <w:highlight w:val="none"/>
          <w14:textFill>
            <w14:solidFill>
              <w14:schemeClr w14:val="tx1"/>
            </w14:solidFill>
          </w14:textFill>
        </w:rPr>
        <w:t>。</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t>、联动柜控制器检测内容：自动、手动控制功能、反馈信号、主备电自动切换、功能标志等。</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、联动设备点检测内容：按防火区检测联动设备等。</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、手动报警按钮检测内容：警铃、报警、反馈及联动等。</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r>
        <w:rPr>
          <w:color w:val="000000" w:themeColor="text1"/>
          <w:sz w:val="28"/>
          <w:szCs w:val="28"/>
          <w:highlight w:val="none"/>
          <w14:textFill>
            <w14:solidFill>
              <w14:schemeClr w14:val="tx1"/>
            </w14:solidFill>
          </w14:textFill>
        </w:rPr>
        <w:t>、住宅建筑布线检测内容：线、管、盒配置与规范，明敷管防火处理等。</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r>
        <w:rPr>
          <w:color w:val="000000" w:themeColor="text1"/>
          <w:sz w:val="28"/>
          <w:szCs w:val="28"/>
          <w:highlight w:val="none"/>
          <w14:textFill>
            <w14:solidFill>
              <w14:schemeClr w14:val="tx1"/>
            </w14:solidFill>
          </w14:textFill>
        </w:rPr>
        <w:t>、除住宅建筑外其它建筑布线、检测内容：线、管、盒配置与规范，明敷管防火处理等。</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r>
        <w:rPr>
          <w:color w:val="000000" w:themeColor="text1"/>
          <w:sz w:val="28"/>
          <w:szCs w:val="28"/>
          <w:highlight w:val="none"/>
          <w14:textFill>
            <w14:solidFill>
              <w14:schemeClr w14:val="tx1"/>
            </w14:solidFill>
          </w14:textFill>
        </w:rPr>
        <w:t>、火灾探测器检测内容：安装、分布、离梁、墙、风口距离、报警功能、编码、信号反馈等。</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9</w:t>
      </w:r>
      <w:r>
        <w:rPr>
          <w:color w:val="000000" w:themeColor="text1"/>
          <w:sz w:val="28"/>
          <w:szCs w:val="28"/>
          <w:highlight w:val="none"/>
          <w14:textFill>
            <w14:solidFill>
              <w14:schemeClr w14:val="tx1"/>
            </w14:solidFill>
          </w14:textFill>
        </w:rPr>
        <w:t>、备用发电机检测内容：手、自动启动与反馈信号等。</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t>0</w:t>
      </w:r>
      <w:r>
        <w:rPr>
          <w:color w:val="000000" w:themeColor="text1"/>
          <w:sz w:val="28"/>
          <w:szCs w:val="28"/>
          <w:highlight w:val="none"/>
          <w14:textFill>
            <w14:solidFill>
              <w14:schemeClr w14:val="tx1"/>
            </w14:solidFill>
          </w14:textFill>
        </w:rPr>
        <w:t>、消防供电与末端配电箱切换、消防供电与末端配电箱切换状况等。</w:t>
      </w:r>
    </w:p>
    <w:p>
      <w:pPr>
        <w:rPr>
          <w:color w:val="000000" w:themeColor="text1"/>
          <w:sz w:val="28"/>
          <w:szCs w:val="28"/>
          <w:highlight w:val="none"/>
          <w14:textFill>
            <w14:solidFill>
              <w14:schemeClr w14:val="tx1"/>
            </w14:solidFill>
          </w14:textFill>
        </w:rPr>
      </w:pPr>
    </w:p>
    <w:p>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（三）消防供水及消火栓系统</w:t>
      </w:r>
    </w:p>
    <w:p>
      <w:pPr>
        <w:ind w:firstLine="560" w:firstLineChars="200"/>
        <w:rPr>
          <w:bCs/>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1、消火栓检测内容：安装尺寸、水枪、水带、卷盘配置、临高供水者，设直接启破玻按钮等。</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2、消火栓启泵按钮检测内容：报警、信号反馈、启泵等。</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3、消火栓充实水柱及压力检测内容：最不利点压力和充实水柱、栓口静水压、出水压等。</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4、消火栓泵房与泵组检测内容：泵安装、规格、手动、自动、远动、启动、反馈、主备切换、配管、控制箱功能等。</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5、水泵接合器检测内容：安装位置、标志、数量与水池、室外消火栓、门、窗洞、地面距离、试水开通功能等。</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6、检查消防水源的性质、进水管的条数和直径及消防水池的设置状况；检查消防水池的容积、水位指示器和补水设施等；检查消防水箱的设置、容积、补水及单向阀的状况等。</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7、检测各种消防供水泵的性能、管道、手自动控制、启动时间，主备泵和主备电源转换功能等；检测水泵接合器的设置、标志及输送消防水的功能等。</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8、检查室内消火栓的安装、组件、规格及其间距等；检测屋顶消火栓的设置及其充实水柱长度等；检查室内消火栓管网的设置、管径、颜色、保证消防用水及其连接形状；检测室内消火栓的首层和最不利点的静压、动压及其充实水柱长度（按每个供水分区最不利点及首层均进行出水测试）；检查手动启泵按钮的设置及其功能。</w:t>
      </w:r>
    </w:p>
    <w:p>
      <w:pPr>
        <w:rPr>
          <w:color w:val="000000" w:themeColor="text1"/>
          <w:sz w:val="28"/>
          <w:szCs w:val="28"/>
          <w:highlight w:val="none"/>
          <w14:textFill>
            <w14:solidFill>
              <w14:schemeClr w14:val="tx1"/>
            </w14:solidFill>
          </w14:textFill>
        </w:rPr>
      </w:pPr>
    </w:p>
    <w:p>
      <w:pP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14:textFill>
            <w14:solidFill>
              <w14:schemeClr w14:val="tx1"/>
            </w14:solidFill>
          </w14:textFill>
        </w:rPr>
        <w:t>四</w:t>
      </w:r>
      <w:r>
        <w:rPr>
          <w:b/>
          <w:color w:val="000000" w:themeColor="text1"/>
          <w:sz w:val="28"/>
          <w:szCs w:val="28"/>
          <w:highlight w:val="none"/>
          <w14:textFill>
            <w14:solidFill>
              <w14:schemeClr w14:val="tx1"/>
            </w14:solidFill>
          </w14:textFill>
        </w:rPr>
        <w:t xml:space="preserve">）自动喷水灭火系统 </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报警阀组：查看外观、标志牌、压力表；查看控制阀，查看锁具或信号阀及其反馈信号；打开试验阀，查看压力开关、水力警铃动作情况及反馈信号；如为预作用报警阀组，关闭报警阀入口控制阀，消防控制设备输出电磁阀控制信号，查看电磁阀动作情况及反馈信号。</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2、水流指示器：查看标志及信号阀；开启末端试水装置，查看消防控制设备报警信号；关闭末端试水装置，查看复位信号。</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3、喷头：查看外观。</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4、末端试水装置：查看阀门、压力表、试水接头及排水管。</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5、湿式系统</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（1）开启最不利处末端试水装置，查看压力表显示；查看水流指示器、压力开关和消防水泵的动作情况及反馈信号。</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（2）测量自开启末端试水装置至消防水泵投入运行的时间。</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（3）用声级计测量水力警铃声强值。</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r>
        <w:rPr>
          <w:color w:val="000000" w:themeColor="text1"/>
          <w:sz w:val="28"/>
          <w:szCs w:val="28"/>
          <w:highlight w:val="none"/>
          <w14:textFill>
            <w14:solidFill>
              <w14:schemeClr w14:val="tx1"/>
            </w14:solidFill>
          </w14:textFill>
        </w:rPr>
        <w:t>、预作用系统</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（1）先后触发防护区内两个火灾探测器，查看电磁阀、电动阀、消防水泵和水流指示器、压力开关的动作情况及反馈信号，以及排气阀的排气情况。</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（2）报警后2min打开末端试水装置，测量出水压力。</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（3）用声级计测量水力警铃声强值。</w:t>
      </w:r>
    </w:p>
    <w:p>
      <w:pPr>
        <w:rPr>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14:textFill>
            <w14:solidFill>
              <w14:schemeClr w14:val="tx1"/>
            </w14:solidFill>
          </w14:textFill>
        </w:rPr>
        <w:t>五</w:t>
      </w:r>
      <w:r>
        <w:rPr>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14:textFill>
            <w14:solidFill>
              <w14:schemeClr w14:val="tx1"/>
            </w14:solidFill>
          </w14:textFill>
        </w:rPr>
        <w:t>泡沫灭火系统</w:t>
      </w:r>
      <w:r>
        <w:rPr>
          <w:rFonts w:hint="eastAsia"/>
          <w:color w:val="000000" w:themeColor="text1"/>
          <w:sz w:val="28"/>
          <w:szCs w:val="28"/>
          <w:highlight w:val="none"/>
          <w14:textFill>
            <w14:solidFill>
              <w14:schemeClr w14:val="tx1"/>
            </w14:solidFill>
          </w14:textFill>
        </w:rPr>
        <w:t>（湿式-泡沫联用系统）</w:t>
      </w:r>
    </w:p>
    <w:p>
      <w:pPr>
        <w:rPr>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1. 泡沫液贮罐</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1.1罐体或铭牌、标志牌上应清晰注明泡沫灭火剂的型号、配比浓度、泡沫灭火剂的有效日期和储量。</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1.2储罐的配件应齐全完好，液位计、呼吸阀、安全阀及压力表状态应正常。</w:t>
      </w:r>
      <w:r>
        <w:rPr>
          <w:rFonts w:hint="eastAsia"/>
          <w:color w:val="000000" w:themeColor="text1"/>
          <w:sz w:val="28"/>
          <w:szCs w:val="28"/>
          <w:highlight w:val="none"/>
          <w14:textFill>
            <w14:solidFill>
              <w14:schemeClr w14:val="tx1"/>
            </w14:solidFill>
          </w14:textFill>
        </w:rPr>
        <w:br w:type="textWrapping"/>
      </w:r>
      <w:r>
        <w:rPr>
          <w:rFonts w:hint="eastAsia"/>
          <w:b/>
          <w:bCs/>
          <w:color w:val="000000" w:themeColor="text1"/>
          <w:sz w:val="28"/>
          <w:szCs w:val="28"/>
          <w:highlight w:val="none"/>
          <w14:textFill>
            <w14:solidFill>
              <w14:schemeClr w14:val="tx1"/>
            </w14:solidFill>
          </w14:textFill>
        </w:rPr>
        <w:t>2.比例混合器</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2.1应符合设计选型；液流方向应正确。</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2.2阀门启闭应灵活，压力表应正常。</w:t>
      </w:r>
      <w:r>
        <w:rPr>
          <w:rFonts w:hint="eastAsia"/>
          <w:color w:val="000000" w:themeColor="text1"/>
          <w:sz w:val="28"/>
          <w:szCs w:val="28"/>
          <w:highlight w:val="none"/>
          <w14:textFill>
            <w14:solidFill>
              <w14:schemeClr w14:val="tx1"/>
            </w14:solidFill>
          </w14:textFill>
        </w:rPr>
        <w:br w:type="textWrapping"/>
      </w:r>
      <w:r>
        <w:rPr>
          <w:rFonts w:hint="eastAsia"/>
          <w:b/>
          <w:bCs/>
          <w:color w:val="000000" w:themeColor="text1"/>
          <w:sz w:val="28"/>
          <w:szCs w:val="28"/>
          <w:highlight w:val="none"/>
          <w14:textFill>
            <w14:solidFill>
              <w14:schemeClr w14:val="tx1"/>
            </w14:solidFill>
          </w14:textFill>
        </w:rPr>
        <w:t>3.泡沫产生器</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3.1应符合设计选型。</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3.2吸气孔、发泡网及暴露的泡沫喷射口，不得有杂物进入或堵塞；泡沫出口附近不得有阻挡泡沫喷射及泡沫流淌的障碍物。</w:t>
      </w:r>
    </w:p>
    <w:p>
      <w:pPr>
        <w:rPr>
          <w:rFonts w:hint="eastAsia"/>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 4.系统功能</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4.1 按设定的控制方式启动泡沫消防泵，查看泡沫消防泵、比例混合器、泡沫枪、泡沫产生器的压力表显示、以及泡沫枪、泡沫产生器的发泡情况。</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4.2 不宜实际喷泡沫的系统，在试验泡沫栓上连接泡沫枪或泡沫产生器、打开试验泡沫栓后，按4.1试验。</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14:textFill>
            <w14:solidFill>
              <w14:schemeClr w14:val="tx1"/>
            </w14:solidFill>
          </w14:textFill>
        </w:rPr>
        <w:t>4.3 冲洗设备和管道后，将系统复位。</w:t>
      </w:r>
    </w:p>
    <w:p>
      <w:pPr>
        <w:rPr>
          <w:rFonts w:hint="eastAsia"/>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14:textFill>
            <w14:solidFill>
              <w14:schemeClr w14:val="tx1"/>
            </w14:solidFill>
          </w14:textFill>
        </w:rPr>
        <w:t>六</w:t>
      </w:r>
      <w:r>
        <w:rPr>
          <w:b/>
          <w:color w:val="000000" w:themeColor="text1"/>
          <w:sz w:val="28"/>
          <w:szCs w:val="28"/>
          <w:highlight w:val="none"/>
          <w14:textFill>
            <w14:solidFill>
              <w14:schemeClr w14:val="tx1"/>
            </w14:solidFill>
          </w14:textFill>
        </w:rPr>
        <w:t>）消防通讯、火灾事故广播</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1、消防通讯：消防控制室应设置消防专用电话总机。设备间（泵房、风机房、空调机房、配电室、分控室等）应设专用电话分机，手动报警按钮、消火栓按钮等处宜插孔电话。要求语言清晰，通话可靠。</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应急广播：控制中心报警系统应设置火灾应急广播，集中报警系统宜设置火灾应急广播，未设置火灾应急广播的火灾自动报警系统应设置火灾警报装置。扬声器功率不小于3瓦，任何部位距离不大于25米，声压级高于背景15分贝。也可与日常公共广播系统合用，平时用于广播、背景音乐等，火警时消防控制室应能强制转入应急广播状态，即相应楼层或防火分区的扬声器和公共广播扩音机（功放机）强制转入应急广播状态。</w:t>
      </w:r>
    </w:p>
    <w:p>
      <w:pPr>
        <w:rPr>
          <w:color w:val="000000" w:themeColor="text1"/>
          <w:sz w:val="28"/>
          <w:szCs w:val="28"/>
          <w:highlight w:val="none"/>
          <w14:textFill>
            <w14:solidFill>
              <w14:schemeClr w14:val="tx1"/>
            </w14:solidFill>
          </w14:textFill>
        </w:rPr>
      </w:pPr>
    </w:p>
    <w:p>
      <w:pP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14:textFill>
            <w14:solidFill>
              <w14:schemeClr w14:val="tx1"/>
            </w14:solidFill>
          </w14:textFill>
        </w:rPr>
        <w:t>七</w:t>
      </w:r>
      <w:r>
        <w:rPr>
          <w:b/>
          <w:color w:val="000000" w:themeColor="text1"/>
          <w:sz w:val="28"/>
          <w:szCs w:val="28"/>
          <w:highlight w:val="none"/>
          <w14:textFill>
            <w14:solidFill>
              <w14:schemeClr w14:val="tx1"/>
            </w14:solidFill>
          </w14:textFill>
        </w:rPr>
        <w:t>）应急疏散照明系统</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1、应急照明</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按下列方法切断正常供电电源，用秒表测量应急工作状态的持续时间：</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（1）自带电源型和子母电源型切断其主供电电源。</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（2）集中电源型切断其控制器主电源。</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（3）接在消防配电线路上的应急照明灯具，切断非消防电源。</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（4）使用照度计，测量两个疏散照明灯之间地面中心的照度；达到规定的应急工作状态持续时间时，重复测量上述测点的照度。</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5）配电室、消防控制室、消防水泵房、防烟排烟机房、消防用电的蓄电池室、自备发电机房、电话总机房以及发生火灾时仍需坚持工作的其它房间，使用照度计测量正常照明时的工作面照度；切断正常照明后，测量应急照明时工作面的最低照度。</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2、疏散指示标志</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（1）查看外观和位置,核对指示方向。</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（2）关闭正常照明，查看发光疏散指示标志的自发光情况,测试亮度。</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（3）切断正常供电电源，在灯光疏散指示标志前通道中心处，用照度计测量地面照度；达到规定的应急工作状态持续时间时，重复测量上述测点的照度。</w:t>
      </w:r>
    </w:p>
    <w:p>
      <w:pPr>
        <w:rPr>
          <w:color w:val="000000" w:themeColor="text1"/>
          <w:sz w:val="28"/>
          <w:szCs w:val="28"/>
          <w:highlight w:val="none"/>
          <w14:textFill>
            <w14:solidFill>
              <w14:schemeClr w14:val="tx1"/>
            </w14:solidFill>
          </w14:textFill>
        </w:rPr>
      </w:pPr>
    </w:p>
    <w:p>
      <w:pP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14:textFill>
            <w14:solidFill>
              <w14:schemeClr w14:val="tx1"/>
            </w14:solidFill>
          </w14:textFill>
        </w:rPr>
        <w:t>八</w:t>
      </w:r>
      <w:r>
        <w:rPr>
          <w:b/>
          <w:color w:val="000000" w:themeColor="text1"/>
          <w:sz w:val="28"/>
          <w:szCs w:val="28"/>
          <w:highlight w:val="none"/>
          <w14:textFill>
            <w14:solidFill>
              <w14:schemeClr w14:val="tx1"/>
            </w14:solidFill>
          </w14:textFill>
        </w:rPr>
        <w:t>）防火分隔设施</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1、防火门</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（1）查看外观、关闭效果，双扇门的关闭顺序。</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（2）关闭后，分别从内外两侧开启。</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（3）开启常闭防火门，查看关闭效果。</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2、防火卷帘</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按下列方式操作，查看卷帘运行情况反馈信号后复位:</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（1）机械操作卷帘升降。</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（2）触发手动控制按钮。</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（3）消防控制室手动输出遥控信号。</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（4）分别触发两个相关的火灾探测器。</w:t>
      </w:r>
    </w:p>
    <w:p>
      <w:pPr>
        <w:rPr>
          <w:color w:val="000000" w:themeColor="text1"/>
          <w:sz w:val="28"/>
          <w:szCs w:val="28"/>
          <w:highlight w:val="none"/>
          <w14:textFill>
            <w14:solidFill>
              <w14:schemeClr w14:val="tx1"/>
            </w14:solidFill>
          </w14:textFill>
        </w:rPr>
      </w:pPr>
    </w:p>
    <w:p>
      <w:pP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14:textFill>
            <w14:solidFill>
              <w14:schemeClr w14:val="tx1"/>
            </w14:solidFill>
          </w14:textFill>
        </w:rPr>
        <w:t>九</w:t>
      </w:r>
      <w:r>
        <w:rPr>
          <w:b/>
          <w:color w:val="000000" w:themeColor="text1"/>
          <w:sz w:val="28"/>
          <w:szCs w:val="28"/>
          <w:highlight w:val="none"/>
          <w14:textFill>
            <w14:solidFill>
              <w14:schemeClr w14:val="tx1"/>
            </w14:solidFill>
          </w14:textFill>
        </w:rPr>
        <w:t>）防排烟系统</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1、控制柜:应有注明系统名称和编号的标志,仪表、指示灯显示应正常，开关及控制按钮应灵活可靠,应有手动、自动切换装置。</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2、风机：应有注明系统名称和编号的标志，传动皮带的防护罩、新风入口的防护网应完好，启动运转平稳，叶轮旋转方向正确，无异常振动与声响。</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3、送风阀：安装牢固，开启与复位操作应灵活可靠，关闭时应严密，反馈信号应正确。</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4、机械加压送风系统应能自动和手动启动相应区域的送风阀、送风机，并向火灾报警控制器反馈信号，送风口的风速不宜大于7m/s，防烟楼梯间的余压值应为40～50Pa，前室、合用前室的余压值应为25～30Pa。</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5、机械排烟系统应能自动和手动启动相应区域排烟阀、排烟风机，并向火灾报警控制器反馈信号。设有补风的系统，应在启动排烟风机的同时启动送风机，排烟口的风速不宜大于10m/s，排烟量应符合设计要求，当通风与排烟合用风机时，应能自动切换到高速运行状态，电动排烟窗系统，应具有直接启动或联动控制开启功能。</w:t>
      </w:r>
    </w:p>
    <w:p>
      <w:pPr>
        <w:rPr>
          <w:color w:val="000000" w:themeColor="text1"/>
          <w:sz w:val="28"/>
          <w:szCs w:val="28"/>
          <w:highlight w:val="none"/>
          <w14:textFill>
            <w14:solidFill>
              <w14:schemeClr w14:val="tx1"/>
            </w14:solidFill>
          </w14:textFill>
        </w:rPr>
      </w:pPr>
    </w:p>
    <w:p>
      <w:pP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14:textFill>
            <w14:solidFill>
              <w14:schemeClr w14:val="tx1"/>
            </w14:solidFill>
          </w14:textFill>
        </w:rPr>
        <w:t>十</w:t>
      </w:r>
      <w:r>
        <w:rPr>
          <w:b/>
          <w:color w:val="000000" w:themeColor="text1"/>
          <w:sz w:val="28"/>
          <w:szCs w:val="28"/>
          <w:highlight w:val="none"/>
          <w14:textFill>
            <w14:solidFill>
              <w14:schemeClr w14:val="tx1"/>
            </w14:solidFill>
          </w14:textFill>
        </w:rPr>
        <w:t>）气体灭火系统</w:t>
      </w:r>
    </w:p>
    <w:p>
      <w:pPr>
        <w:ind w:left="480" w:left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1、选择阀的检查 </w:t>
      </w:r>
      <w:r>
        <w:rPr>
          <w:color w:val="000000" w:themeColor="text1"/>
          <w:sz w:val="28"/>
          <w:szCs w:val="28"/>
          <w:highlight w:val="none"/>
          <w14:textFill>
            <w14:solidFill>
              <w14:schemeClr w14:val="tx1"/>
            </w14:solidFill>
          </w14:textFill>
        </w:rPr>
        <w:cr/>
      </w:r>
      <w:r>
        <w:rPr>
          <w:color w:val="000000" w:themeColor="text1"/>
          <w:sz w:val="28"/>
          <w:szCs w:val="28"/>
          <w:highlight w:val="none"/>
          <w14:textFill>
            <w14:solidFill>
              <w14:schemeClr w14:val="tx1"/>
            </w14:solidFill>
          </w14:textFill>
        </w:rPr>
        <w:t>（1）选择阀的公称直径应与主管道的公称直径相等，采用螺纹连接的选择阀与管网连接处宜采用活接头。</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（2）选择阀操作手柄应安装在操作面一侧且应便于操作，高度不宜超过1.7m。</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（3）选择阀上应设置标明防护区名称或编号的永久性标志牌，并应将标志牌固定在操作手柄附近。</w:t>
      </w:r>
    </w:p>
    <w:p>
      <w:pPr>
        <w:ind w:left="480" w:left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2、电磁驱动装置</w:t>
      </w:r>
      <w:r>
        <w:rPr>
          <w:color w:val="000000" w:themeColor="text1"/>
          <w:sz w:val="28"/>
          <w:szCs w:val="28"/>
          <w:highlight w:val="none"/>
          <w14:textFill>
            <w14:solidFill>
              <w14:schemeClr w14:val="tx1"/>
            </w14:solidFill>
          </w14:textFill>
        </w:rPr>
        <w:cr/>
      </w:r>
      <w:r>
        <w:rPr>
          <w:rFonts w:hint="eastAsia"/>
          <w:color w:val="000000" w:themeColor="text1"/>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1）电磁驱动装置的电气连接线应沿固定灭火剂储存容器的支、框架或墙面固定。</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（2）装置的电源电压应符合设计要求。电磁铁心动作灵活，无卡阻现象。</w:t>
      </w:r>
    </w:p>
    <w:p>
      <w:pPr>
        <w:ind w:left="480" w:left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3、气动驱动装置</w:t>
      </w:r>
      <w:r>
        <w:rPr>
          <w:color w:val="000000" w:themeColor="text1"/>
          <w:sz w:val="28"/>
          <w:szCs w:val="28"/>
          <w:highlight w:val="none"/>
          <w14:textFill>
            <w14:solidFill>
              <w14:schemeClr w14:val="tx1"/>
            </w14:solidFill>
          </w14:textFill>
        </w:rPr>
        <w:cr/>
      </w:r>
      <w:r>
        <w:rPr>
          <w:color w:val="000000" w:themeColor="text1"/>
          <w:sz w:val="28"/>
          <w:szCs w:val="28"/>
          <w:highlight w:val="none"/>
          <w14:textFill>
            <w14:solidFill>
              <w14:schemeClr w14:val="tx1"/>
            </w14:solidFill>
          </w14:textFill>
        </w:rPr>
        <w:t>（1）驱动气瓶内气体压力不应低于设计压力，且不得超过设计压力。</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（2）气动驱动装置中的单向阀芯应启闭灵活，无卡阻现象。驱动气瓶的支、框架或箱体应固定牢靠且做防腐处理。</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（3）驱动气瓶正面应标明驱动介质的名称和对应防护区名称的编号。</w:t>
      </w:r>
    </w:p>
    <w:p>
      <w:pPr>
        <w:ind w:left="480" w:left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4、高压软管和单向阀的检查</w:t>
      </w:r>
      <w:r>
        <w:rPr>
          <w:color w:val="000000" w:themeColor="text1"/>
          <w:sz w:val="28"/>
          <w:szCs w:val="28"/>
          <w:highlight w:val="none"/>
          <w14:textFill>
            <w14:solidFill>
              <w14:schemeClr w14:val="tx1"/>
            </w14:solidFill>
          </w14:textFill>
        </w:rPr>
        <w:cr/>
      </w:r>
      <w:r>
        <w:rPr>
          <w:color w:val="000000" w:themeColor="text1"/>
          <w:sz w:val="28"/>
          <w:szCs w:val="28"/>
          <w:highlight w:val="none"/>
          <w14:textFill>
            <w14:solidFill>
              <w14:schemeClr w14:val="tx1"/>
            </w14:solidFill>
          </w14:textFill>
        </w:rPr>
        <w:t>（1）单向阀的外观应无加工缺陷、无碰撞损伤，铭牌标志齐全，螺纹密封面良好。</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（2）高压软管与储存容器出口、液体单向阀及集流管或主管道之间的连接应牢固可靠。</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（3）液体单向阀和气流单向阀流向标志应清晰和正确。</w:t>
      </w:r>
    </w:p>
    <w:p>
      <w:pPr>
        <w:ind w:left="480" w:left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5、喷嘴的检查</w:t>
      </w:r>
      <w:r>
        <w:rPr>
          <w:color w:val="000000" w:themeColor="text1"/>
          <w:sz w:val="28"/>
          <w:szCs w:val="28"/>
          <w:highlight w:val="none"/>
          <w14:textFill>
            <w14:solidFill>
              <w14:schemeClr w14:val="tx1"/>
            </w14:solidFill>
          </w14:textFill>
        </w:rPr>
        <w:cr/>
      </w:r>
      <w:r>
        <w:rPr>
          <w:color w:val="000000" w:themeColor="text1"/>
          <w:sz w:val="28"/>
          <w:szCs w:val="28"/>
          <w:highlight w:val="none"/>
          <w14:textFill>
            <w14:solidFill>
              <w14:schemeClr w14:val="tx1"/>
            </w14:solidFill>
          </w14:textFill>
        </w:rPr>
        <w:t>（1）喷嘴外观无机械损伤，内外表面无污染，喷嘴应有表示其型号、规格的永久性标志。</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（2）喷嘴的安装位置和喷孔方向应与设计要求一致。</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（3）吊顶下的不带装饰罩的，其连接管管端螺纹不应露出吊顶；吊顶下的带装饰罩的喷嘴，其装饰罩应紧贴吊顶。</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6、集流管的检查</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（1）集流管宜采用焊接方法制作，焊接后应进行内外镀锌处理。</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（2）集流管应固定在支、框架上，支、框架应固定牢靠且应作好防腐处理，外表面应涂红色油漆。</w:t>
      </w:r>
    </w:p>
    <w:p>
      <w:pP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（3）装有泄压装置的集流管，泄压装置的泄压方向不应朝向操作面。</w:t>
      </w:r>
    </w:p>
    <w:p>
      <w:pPr>
        <w:ind w:firstLine="560" w:firstLineChars="200"/>
        <w:rPr>
          <w:color w:val="000000" w:themeColor="text1"/>
          <w:sz w:val="28"/>
          <w:szCs w:val="28"/>
          <w:highlight w:val="none"/>
          <w14:textFill>
            <w14:solidFill>
              <w14:schemeClr w14:val="tx1"/>
            </w14:solidFill>
          </w14:textFill>
        </w:rPr>
      </w:pPr>
    </w:p>
    <w:p>
      <w:pPr>
        <w:rPr>
          <w:rFonts w:hint="eastAsia" w:ascii="宋体" w:hAnsi="宋体" w:eastAsia="宋体" w:cs="宋体"/>
          <w:b/>
          <w:bCs/>
          <w:kern w:val="0"/>
          <w:szCs w:val="30"/>
          <w:highlight w:val="none"/>
        </w:rPr>
      </w:pPr>
      <w:r>
        <w:rPr>
          <w:rFonts w:hint="eastAsia"/>
          <w:b/>
          <w:color w:val="000000" w:themeColor="text1"/>
          <w:sz w:val="28"/>
          <w:szCs w:val="28"/>
          <w:highlight w:val="none"/>
          <w14:textFill>
            <w14:solidFill>
              <w14:schemeClr w14:val="tx1"/>
            </w14:solidFill>
          </w14:textFill>
        </w:rPr>
        <w:t>六、</w:t>
      </w:r>
      <w:r>
        <w:rPr>
          <w:b/>
          <w:color w:val="000000" w:themeColor="text1"/>
          <w:sz w:val="28"/>
          <w:szCs w:val="28"/>
          <w:highlight w:val="none"/>
          <w14:textFill>
            <w14:solidFill>
              <w14:schemeClr w14:val="tx1"/>
            </w14:solidFill>
          </w14:textFill>
        </w:rPr>
        <w:t>消防设施</w:t>
      </w:r>
      <w:r>
        <w:rPr>
          <w:rFonts w:hint="eastAsia"/>
          <w:b/>
          <w:color w:val="000000" w:themeColor="text1"/>
          <w:sz w:val="28"/>
          <w:szCs w:val="28"/>
          <w:highlight w:val="none"/>
          <w14:textFill>
            <w14:solidFill>
              <w14:schemeClr w14:val="tx1"/>
            </w14:solidFill>
          </w14:textFill>
        </w:rPr>
        <w:t>参考</w:t>
      </w:r>
      <w:r>
        <w:rPr>
          <w:b/>
          <w:color w:val="000000" w:themeColor="text1"/>
          <w:sz w:val="28"/>
          <w:szCs w:val="28"/>
          <w:highlight w:val="none"/>
          <w14:textFill>
            <w14:solidFill>
              <w14:schemeClr w14:val="tx1"/>
            </w14:solidFill>
          </w14:textFill>
        </w:rPr>
        <w:t>清单详</w:t>
      </w:r>
      <w:r>
        <w:rPr>
          <w:rFonts w:hint="eastAsia"/>
          <w:b/>
          <w:color w:val="000000" w:themeColor="text1"/>
          <w:sz w:val="28"/>
          <w:szCs w:val="28"/>
          <w:highlight w:val="none"/>
          <w14:textFill>
            <w14:solidFill>
              <w14:schemeClr w14:val="tx1"/>
            </w14:solidFill>
          </w14:textFill>
        </w:rPr>
        <w:t>见</w:t>
      </w:r>
      <w:r>
        <w:rPr>
          <w:b/>
          <w:color w:val="000000" w:themeColor="text1"/>
          <w:sz w:val="28"/>
          <w:szCs w:val="28"/>
          <w:highlight w:val="none"/>
          <w14:textFill>
            <w14:solidFill>
              <w14:schemeClr w14:val="tx1"/>
            </w14:solidFill>
          </w14:textFill>
        </w:rPr>
        <w:t>下</w:t>
      </w:r>
      <w:r>
        <w:rPr>
          <w:rFonts w:hint="eastAsia"/>
          <w:b/>
          <w:color w:val="000000" w:themeColor="text1"/>
          <w:sz w:val="28"/>
          <w:szCs w:val="28"/>
          <w:highlight w:val="none"/>
          <w14:textFill>
            <w14:solidFill>
              <w14:schemeClr w14:val="tx1"/>
            </w14:solidFill>
          </w14:textFill>
        </w:rPr>
        <w:t>表</w:t>
      </w:r>
      <w:r>
        <w:rPr>
          <w:b/>
          <w:color w:val="000000" w:themeColor="text1"/>
          <w:sz w:val="28"/>
          <w:szCs w:val="28"/>
          <w:highlight w:val="none"/>
          <w14:textFill>
            <w14:solidFill>
              <w14:schemeClr w14:val="tx1"/>
            </w14:solidFill>
          </w14:textFill>
        </w:rPr>
        <w:t>。</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80"/>
        <w:gridCol w:w="4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tcPr>
          <w:p>
            <w:pPr>
              <w:widowControl/>
              <w:snapToGrid w:val="0"/>
              <w:spacing w:before="120" w:after="120" w:line="360" w:lineRule="auto"/>
              <w:jc w:val="center"/>
              <w:rPr>
                <w:rFonts w:hint="eastAsia" w:ascii="宋体" w:hAnsi="宋体" w:eastAsia="宋体" w:cs="宋体"/>
                <w:b/>
                <w:bCs/>
                <w:kern w:val="0"/>
                <w:szCs w:val="30"/>
                <w:highlight w:val="none"/>
              </w:rPr>
            </w:pPr>
            <w:r>
              <w:rPr>
                <w:rFonts w:hint="eastAsia" w:ascii="宋体" w:hAnsi="宋体" w:eastAsia="宋体" w:cs="宋体"/>
                <w:b/>
                <w:bCs/>
                <w:kern w:val="0"/>
                <w:szCs w:val="30"/>
                <w:highlight w:val="none"/>
              </w:rPr>
              <w:t>1、火灾自动报警系统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设备名称</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火灾报警控制器</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联动控制柜</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感烟探测器</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感温探测器</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手报及破玻</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电话插孔</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扬声器</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消防电梯</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tcPr>
          <w:p>
            <w:pPr>
              <w:widowControl/>
              <w:snapToGrid w:val="0"/>
              <w:spacing w:before="120" w:after="120" w:line="360" w:lineRule="auto"/>
              <w:jc w:val="center"/>
              <w:rPr>
                <w:rFonts w:hint="eastAsia" w:ascii="宋体" w:hAnsi="宋体" w:eastAsia="宋体" w:cs="宋体"/>
                <w:b/>
                <w:bCs/>
                <w:kern w:val="0"/>
                <w:szCs w:val="30"/>
                <w:highlight w:val="none"/>
              </w:rPr>
            </w:pPr>
            <w:r>
              <w:rPr>
                <w:rFonts w:hint="eastAsia" w:ascii="宋体" w:hAnsi="宋体" w:eastAsia="宋体" w:cs="宋体"/>
                <w:b/>
                <w:bCs/>
                <w:kern w:val="0"/>
                <w:szCs w:val="30"/>
                <w:highlight w:val="none"/>
              </w:rPr>
              <w:t>2、消防给水（消防水源）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设备名称</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消防水池</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消防水箱</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水泵接合器</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tcPr>
          <w:p>
            <w:pPr>
              <w:widowControl/>
              <w:snapToGrid w:val="0"/>
              <w:spacing w:before="120" w:after="120" w:line="360" w:lineRule="auto"/>
              <w:jc w:val="center"/>
              <w:rPr>
                <w:rFonts w:hint="eastAsia" w:ascii="宋体" w:hAnsi="宋体" w:eastAsia="宋体" w:cs="宋体"/>
                <w:b/>
                <w:bCs/>
                <w:kern w:val="0"/>
                <w:szCs w:val="30"/>
                <w:highlight w:val="none"/>
              </w:rPr>
            </w:pPr>
            <w:r>
              <w:rPr>
                <w:rFonts w:hint="eastAsia" w:ascii="宋体" w:hAnsi="宋体" w:eastAsia="宋体" w:cs="宋体"/>
                <w:b/>
                <w:bCs/>
                <w:kern w:val="0"/>
                <w:szCs w:val="30"/>
                <w:highlight w:val="none"/>
              </w:rPr>
              <w:t>3、室内外消火栓系统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设备名称</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室外消火栓</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室内消火栓</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消防水泵</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稳压泵</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消防泵控制柜</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tcPr>
          <w:p>
            <w:pPr>
              <w:widowControl/>
              <w:snapToGrid w:val="0"/>
              <w:spacing w:before="120" w:after="120" w:line="360" w:lineRule="auto"/>
              <w:jc w:val="center"/>
              <w:rPr>
                <w:rFonts w:hint="eastAsia" w:ascii="宋体" w:hAnsi="宋体" w:eastAsia="宋体" w:cs="宋体"/>
                <w:b/>
                <w:bCs/>
                <w:kern w:val="0"/>
                <w:szCs w:val="30"/>
                <w:highlight w:val="none"/>
              </w:rPr>
            </w:pPr>
            <w:r>
              <w:rPr>
                <w:rFonts w:hint="eastAsia" w:ascii="宋体" w:hAnsi="宋体" w:eastAsia="宋体" w:cs="宋体"/>
                <w:b/>
                <w:bCs/>
                <w:kern w:val="0"/>
                <w:szCs w:val="30"/>
                <w:highlight w:val="none"/>
              </w:rPr>
              <w:t>4、自动喷水灭火系统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设备名称</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水流指示器</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带微动开关闸阀</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湿式报警阀</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压力开关</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喷淋水泵</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稳压泵</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气压罐</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喷淋泵控制柜</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tcPr>
          <w:p>
            <w:pPr>
              <w:widowControl/>
              <w:snapToGrid w:val="0"/>
              <w:spacing w:before="120" w:after="120" w:line="360" w:lineRule="auto"/>
              <w:jc w:val="center"/>
              <w:rPr>
                <w:rFonts w:hint="eastAsia" w:ascii="宋体" w:hAnsi="宋体" w:eastAsia="宋体" w:cs="宋体"/>
                <w:b/>
                <w:bCs/>
                <w:kern w:val="0"/>
                <w:szCs w:val="30"/>
                <w:highlight w:val="none"/>
              </w:rPr>
            </w:pPr>
            <w:r>
              <w:rPr>
                <w:rFonts w:hint="eastAsia" w:ascii="宋体" w:hAnsi="宋体" w:eastAsia="宋体" w:cs="宋体"/>
                <w:b/>
                <w:bCs/>
                <w:kern w:val="0"/>
                <w:szCs w:val="30"/>
                <w:highlight w:val="none"/>
              </w:rPr>
              <w:t>5、气体灭火系统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设备名称</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气体灭火设备（成套）</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气体灭火控制器</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tcPr>
          <w:p>
            <w:pPr>
              <w:widowControl/>
              <w:snapToGrid w:val="0"/>
              <w:spacing w:before="120" w:after="120" w:line="360" w:lineRule="auto"/>
              <w:jc w:val="center"/>
              <w:rPr>
                <w:rFonts w:hint="eastAsia" w:ascii="宋体" w:hAnsi="宋体" w:eastAsia="宋体" w:cs="宋体"/>
                <w:b/>
                <w:bCs/>
                <w:kern w:val="0"/>
                <w:szCs w:val="30"/>
                <w:highlight w:val="none"/>
              </w:rPr>
            </w:pPr>
            <w:r>
              <w:rPr>
                <w:rFonts w:hint="eastAsia" w:ascii="宋体" w:hAnsi="宋体" w:eastAsia="宋体" w:cs="宋体"/>
                <w:b/>
                <w:bCs/>
                <w:kern w:val="0"/>
                <w:szCs w:val="30"/>
                <w:highlight w:val="none"/>
              </w:rPr>
              <w:t>6、防烟和排烟系统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设备名称</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排烟风机</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正压送风机</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排烟防火阀</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排烟口（阀）</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送风口（阀）</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tcPr>
          <w:p>
            <w:pPr>
              <w:widowControl/>
              <w:snapToGrid w:val="0"/>
              <w:spacing w:before="120" w:after="120" w:line="360" w:lineRule="auto"/>
              <w:jc w:val="center"/>
              <w:rPr>
                <w:rFonts w:hint="eastAsia" w:ascii="宋体" w:hAnsi="宋体" w:eastAsia="宋体" w:cs="宋体"/>
                <w:b/>
                <w:bCs/>
                <w:kern w:val="0"/>
                <w:szCs w:val="30"/>
                <w:highlight w:val="none"/>
              </w:rPr>
            </w:pPr>
            <w:r>
              <w:rPr>
                <w:rFonts w:hint="eastAsia" w:ascii="宋体" w:hAnsi="宋体" w:eastAsia="宋体" w:cs="宋体"/>
                <w:b/>
                <w:bCs/>
                <w:kern w:val="0"/>
                <w:szCs w:val="30"/>
                <w:highlight w:val="none"/>
              </w:rPr>
              <w:t>7、防火门、防火卷帘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设备名称</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防火门（成套）</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防火卷帘</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tcPr>
          <w:p>
            <w:pPr>
              <w:widowControl/>
              <w:snapToGrid w:val="0"/>
              <w:spacing w:before="120" w:after="120" w:line="360" w:lineRule="auto"/>
              <w:jc w:val="center"/>
              <w:rPr>
                <w:rFonts w:hint="eastAsia" w:ascii="宋体" w:hAnsi="宋体" w:eastAsia="宋体" w:cs="宋体"/>
                <w:b/>
                <w:bCs/>
                <w:kern w:val="0"/>
                <w:szCs w:val="30"/>
                <w:highlight w:val="none"/>
              </w:rPr>
            </w:pPr>
            <w:r>
              <w:rPr>
                <w:rFonts w:hint="eastAsia" w:ascii="宋体" w:hAnsi="宋体" w:eastAsia="宋体" w:cs="宋体"/>
                <w:b/>
                <w:bCs/>
                <w:kern w:val="0"/>
                <w:szCs w:val="30"/>
                <w:highlight w:val="none"/>
              </w:rPr>
              <w:t>8、消防应急照明和疏散指示系统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设备名称</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应急照明灯具</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疏散指示灯</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tcPr>
          <w:p>
            <w:pPr>
              <w:widowControl/>
              <w:snapToGrid w:val="0"/>
              <w:spacing w:before="120" w:after="120" w:line="360" w:lineRule="auto"/>
              <w:jc w:val="center"/>
              <w:rPr>
                <w:rFonts w:hint="eastAsia" w:ascii="宋体" w:hAnsi="宋体" w:eastAsia="宋体" w:cs="宋体"/>
                <w:b/>
                <w:bCs/>
                <w:kern w:val="0"/>
                <w:szCs w:val="30"/>
                <w:highlight w:val="none"/>
              </w:rPr>
            </w:pPr>
            <w:r>
              <w:rPr>
                <w:rFonts w:hint="eastAsia" w:ascii="宋体" w:hAnsi="宋体" w:eastAsia="宋体" w:cs="宋体"/>
                <w:b/>
                <w:bCs/>
                <w:kern w:val="0"/>
                <w:szCs w:val="30"/>
                <w:highlight w:val="none"/>
              </w:rPr>
              <w:t>9、建筑灭火器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设备名称</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手提式</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推车式</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10、消防水炮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设备名称</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消防水炮</w:t>
            </w:r>
          </w:p>
        </w:tc>
        <w:tc>
          <w:tcPr>
            <w:tcW w:w="4927" w:type="dxa"/>
            <w:vAlign w:val="center"/>
          </w:tcPr>
          <w:p>
            <w:pPr>
              <w:jc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4</w:t>
            </w:r>
          </w:p>
        </w:tc>
      </w:tr>
    </w:tbl>
    <w:p>
      <w:pPr>
        <w:widowControl/>
        <w:snapToGrid w:val="0"/>
        <w:spacing w:before="120" w:after="120" w:line="360" w:lineRule="auto"/>
        <w:ind w:firstLine="480" w:firstLineChars="200"/>
        <w:jc w:val="left"/>
        <w:rPr>
          <w:rFonts w:hint="eastAsia" w:ascii="宋体" w:hAnsi="宋体" w:eastAsia="宋体" w:cs="宋体"/>
          <w:highlight w:val="none"/>
        </w:rPr>
      </w:pPr>
    </w:p>
    <w:p>
      <w:pPr>
        <w:widowControl/>
        <w:snapToGrid w:val="0"/>
        <w:spacing w:before="120" w:after="120" w:line="360" w:lineRule="auto"/>
        <w:ind w:firstLine="482" w:firstLineChars="200"/>
        <w:jc w:val="left"/>
        <w:rPr>
          <w:rFonts w:hint="eastAsia" w:ascii="宋体" w:hAnsi="宋体" w:eastAsia="宋体" w:cs="宋体"/>
          <w:b/>
          <w:highlight w:val="none"/>
        </w:rPr>
      </w:pPr>
      <w:r>
        <w:rPr>
          <w:rFonts w:hint="eastAsia" w:ascii="宋体" w:hAnsi="宋体" w:eastAsia="宋体" w:cs="宋体"/>
          <w:b/>
          <w:highlight w:val="none"/>
        </w:rPr>
        <w:t>设施清单备注说明：</w:t>
      </w:r>
    </w:p>
    <w:p>
      <w:pPr>
        <w:widowControl/>
        <w:snapToGrid w:val="0"/>
        <w:spacing w:before="120" w:after="120"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本项目的设施数量、描述内容、检测要求为主要参考的数量和内容，乙方应现场进行实际勘测和检测，错报漏报的数量、内容及勘测费用，均已包含在合同总价内，乙方不得以任何的形式向甲方索要追加任何费用，甲方也没有义务支付任何合同总价外的费用。</w:t>
      </w:r>
    </w:p>
    <w:p>
      <w:pPr>
        <w:widowControl/>
        <w:snapToGrid w:val="0"/>
        <w:spacing w:before="120" w:after="120" w:line="360" w:lineRule="auto"/>
        <w:ind w:firstLine="480" w:firstLineChars="200"/>
        <w:jc w:val="left"/>
        <w:rPr>
          <w:rFonts w:hint="eastAsia" w:ascii="宋体" w:hAnsi="宋体" w:eastAsia="宋体" w:cs="宋体"/>
          <w:highlight w:val="none"/>
        </w:rPr>
      </w:pPr>
    </w:p>
    <w:p>
      <w:pPr>
        <w:widowControl/>
        <w:snapToGrid w:val="0"/>
        <w:spacing w:before="120" w:after="120" w:line="360" w:lineRule="auto"/>
        <w:ind w:firstLine="480" w:firstLineChars="200"/>
        <w:jc w:val="left"/>
        <w:rPr>
          <w:rFonts w:hint="eastAsia" w:ascii="宋体" w:hAnsi="宋体" w:eastAsia="宋体" w:cs="宋体"/>
          <w:highlight w:val="none"/>
        </w:rPr>
      </w:pPr>
    </w:p>
    <w:p>
      <w:pPr>
        <w:widowControl/>
        <w:snapToGrid w:val="0"/>
        <w:spacing w:before="120" w:after="120" w:line="360" w:lineRule="auto"/>
        <w:ind w:firstLine="480" w:firstLineChars="200"/>
        <w:jc w:val="left"/>
        <w:rPr>
          <w:rFonts w:hint="eastAsia" w:ascii="宋体" w:hAnsi="宋体" w:eastAsia="宋体" w:cs="宋体"/>
          <w:highlight w:val="none"/>
        </w:rPr>
      </w:pPr>
    </w:p>
    <w:p>
      <w:pPr>
        <w:widowControl/>
        <w:snapToGrid w:val="0"/>
        <w:spacing w:before="120" w:after="120" w:line="360" w:lineRule="auto"/>
        <w:ind w:firstLine="480" w:firstLineChars="200"/>
        <w:jc w:val="left"/>
        <w:rPr>
          <w:rFonts w:hint="eastAsia" w:ascii="宋体" w:hAnsi="宋体" w:eastAsia="宋体" w:cs="宋体"/>
          <w:highlight w:val="none"/>
        </w:rPr>
      </w:pPr>
    </w:p>
    <w:p>
      <w:pPr>
        <w:widowControl/>
        <w:snapToGrid w:val="0"/>
        <w:spacing w:before="120" w:after="120" w:line="360" w:lineRule="auto"/>
        <w:ind w:firstLine="480" w:firstLineChars="200"/>
        <w:jc w:val="left"/>
        <w:rPr>
          <w:rFonts w:hint="eastAsia" w:ascii="宋体" w:hAnsi="宋体" w:eastAsia="宋体" w:cs="宋体"/>
          <w:highlight w:val="none"/>
        </w:rPr>
      </w:pPr>
    </w:p>
    <w:p>
      <w:pPr>
        <w:widowControl/>
        <w:snapToGrid w:val="0"/>
        <w:spacing w:before="120" w:after="120" w:line="360" w:lineRule="auto"/>
        <w:ind w:firstLine="480" w:firstLineChars="200"/>
        <w:jc w:val="left"/>
        <w:rPr>
          <w:rFonts w:hint="eastAsia" w:ascii="宋体" w:hAnsi="宋体" w:eastAsia="宋体" w:cs="宋体"/>
          <w:highlight w:val="none"/>
        </w:rPr>
      </w:pPr>
    </w:p>
    <w:p>
      <w:pPr>
        <w:widowControl/>
        <w:snapToGrid w:val="0"/>
        <w:spacing w:before="120" w:after="120" w:line="360" w:lineRule="auto"/>
        <w:ind w:firstLine="480" w:firstLineChars="200"/>
        <w:jc w:val="left"/>
        <w:rPr>
          <w:rFonts w:hint="eastAsia" w:ascii="宋体" w:hAnsi="宋体" w:eastAsia="宋体" w:cs="宋体"/>
          <w:highlight w:val="none"/>
        </w:rPr>
      </w:pPr>
    </w:p>
    <w:p>
      <w:pPr>
        <w:widowControl/>
        <w:snapToGrid w:val="0"/>
        <w:spacing w:before="120" w:after="120" w:line="360" w:lineRule="auto"/>
        <w:ind w:firstLine="480" w:firstLineChars="200"/>
        <w:jc w:val="left"/>
        <w:rPr>
          <w:rFonts w:hint="eastAsia" w:ascii="宋体" w:hAnsi="宋体" w:eastAsia="宋体" w:cs="宋体"/>
          <w:highlight w:val="none"/>
        </w:rPr>
      </w:pPr>
    </w:p>
    <w:p>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附件二：报价单</w:t>
      </w:r>
    </w:p>
    <w:tbl>
      <w:tblPr>
        <w:tblStyle w:val="4"/>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项目名称</w:t>
            </w:r>
          </w:p>
        </w:tc>
        <w:tc>
          <w:tcPr>
            <w:tcW w:w="6864" w:type="dxa"/>
          </w:tcPr>
          <w:p>
            <w:pPr>
              <w:jc w:val="center"/>
              <w:rPr>
                <w:rFonts w:hint="eastAsia"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2025年度一期建筑消防设施第三方检测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项目地址</w:t>
            </w:r>
          </w:p>
        </w:tc>
        <w:tc>
          <w:tcPr>
            <w:tcW w:w="6864" w:type="dxa"/>
          </w:tcPr>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惠州市大亚湾经济技术开发区中兴北路186号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建筑总面积</w:t>
            </w:r>
          </w:p>
        </w:tc>
        <w:tc>
          <w:tcPr>
            <w:tcW w:w="6864" w:type="dxa"/>
          </w:tcPr>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83468平方米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全面检测单价</w:t>
            </w:r>
          </w:p>
        </w:tc>
        <w:tc>
          <w:tcPr>
            <w:tcW w:w="6864" w:type="dxa"/>
          </w:tcPr>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总价</w:t>
            </w:r>
          </w:p>
        </w:tc>
        <w:tc>
          <w:tcPr>
            <w:tcW w:w="6864" w:type="dxa"/>
          </w:tcPr>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元</w:t>
            </w:r>
          </w:p>
        </w:tc>
      </w:tr>
    </w:tbl>
    <w:p>
      <w:pPr>
        <w:ind w:firstLine="562" w:firstLineChars="200"/>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备注：</w:t>
      </w:r>
    </w:p>
    <w:p>
      <w:pPr>
        <w:pStyle w:val="6"/>
        <w:numPr>
          <w:ilvl w:val="0"/>
          <w:numId w:val="2"/>
        </w:numPr>
        <w:ind w:firstLineChars="0"/>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需求方提供的设备项目和数量为主要参考，供应商不得以其他原因和形式对错报、漏报的数量和内容不予检测及不得索要追加任何费用，采购方也没义务支付任何供应商报价外的费用。</w:t>
      </w:r>
    </w:p>
    <w:p>
      <w:pPr>
        <w:pStyle w:val="6"/>
        <w:numPr>
          <w:ilvl w:val="0"/>
          <w:numId w:val="2"/>
        </w:numPr>
        <w:ind w:firstLineChars="0"/>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按验收标准进行检测，检测结果不得出现</w:t>
      </w:r>
      <w:r>
        <w:rPr>
          <w:rFonts w:hint="eastAsia"/>
          <w:b/>
          <w:bCs/>
          <w:color w:val="000000" w:themeColor="text1"/>
          <w:sz w:val="28"/>
          <w:szCs w:val="28"/>
          <w:highlight w:val="none"/>
          <w14:textFill>
            <w14:solidFill>
              <w14:schemeClr w14:val="tx1"/>
            </w14:solidFill>
          </w14:textFill>
        </w:rPr>
        <w:t>漏缺或错误。</w:t>
      </w:r>
    </w:p>
    <w:p>
      <w:pPr>
        <w:ind w:firstLine="560" w:firstLineChars="200"/>
        <w:rPr>
          <w:color w:val="000000" w:themeColor="text1"/>
          <w:sz w:val="28"/>
          <w:szCs w:val="28"/>
          <w:highlight w:val="none"/>
          <w14:textFill>
            <w14:solidFill>
              <w14:schemeClr w14:val="tx1"/>
            </w14:solidFill>
          </w14:textFill>
        </w:rPr>
      </w:pPr>
    </w:p>
    <w:p>
      <w:pPr>
        <w:ind w:firstLine="562" w:firstLineChars="200"/>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公司名称：</w:t>
      </w:r>
    </w:p>
    <w:p>
      <w:pPr>
        <w:ind w:firstLine="562" w:firstLineChars="200"/>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公司地址：</w:t>
      </w:r>
    </w:p>
    <w:p>
      <w:pPr>
        <w:ind w:firstLine="562" w:firstLineChars="200"/>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联 系 人：</w:t>
      </w:r>
    </w:p>
    <w:p>
      <w:pPr>
        <w:ind w:firstLine="562" w:firstLineChars="200"/>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联系电话：</w:t>
      </w:r>
    </w:p>
    <w:p>
      <w:pPr>
        <w:widowControl/>
        <w:snapToGrid w:val="0"/>
        <w:spacing w:before="120" w:after="120" w:line="360" w:lineRule="auto"/>
        <w:ind w:firstLine="480" w:firstLineChars="200"/>
        <w:jc w:val="left"/>
        <w:rPr>
          <w:rFonts w:hint="eastAsia" w:ascii="宋体" w:hAnsi="宋体" w:eastAsia="宋体" w:cs="宋体"/>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4FCC"/>
    <w:multiLevelType w:val="multilevel"/>
    <w:tmpl w:val="1CD84FCC"/>
    <w:lvl w:ilvl="0" w:tentative="0">
      <w:start w:val="1"/>
      <w:numFmt w:val="decimal"/>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abstractNum w:abstractNumId="1">
    <w:nsid w:val="710D622D"/>
    <w:multiLevelType w:val="multilevel"/>
    <w:tmpl w:val="710D62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C7421"/>
    <w:rsid w:val="745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spacing w:line="360" w:lineRule="auto"/>
      <w:ind w:left="181" w:firstLine="420"/>
    </w:pPr>
    <w:rPr>
      <w:rFonts w:asciiTheme="minorHAnsi" w:hAnsiTheme="minorHAnsi" w:cstheme="minorBidi"/>
      <w:szCs w:val="22"/>
    </w:rPr>
  </w:style>
  <w:style w:type="table" w:styleId="4">
    <w:name w:val="Table Grid"/>
    <w:basedOn w:val="3"/>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2025-10-10T01:57:00Z</dcterms:created>
  <dc:creator>Administrator</dc:creator>
  <cp:lastModifiedBy>Administrator</cp:lastModifiedBy>
  <dcterms:modified xsi:type="dcterms:W3CDTF">2025-10-10T02:22:10Z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